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 w:eastAsia="仿宋_GB2312" w:cs="仿宋"/>
          <w:b/>
          <w:sz w:val="32"/>
          <w:szCs w:val="32"/>
          <w:lang w:val="en-US" w:eastAsia="zh-CN"/>
        </w:rPr>
      </w:pPr>
      <w:r>
        <w:rPr>
          <w:rFonts w:hint="eastAsia" w:ascii="仿宋_GB2312" w:hAnsi="仿宋" w:eastAsia="仿宋_GB2312" w:cs="仿宋"/>
          <w:b/>
          <w:sz w:val="32"/>
          <w:szCs w:val="32"/>
          <w:lang w:val="en-US" w:eastAsia="zh-CN"/>
        </w:rPr>
        <w:t xml:space="preserve">            </w:t>
      </w:r>
    </w:p>
    <w:p>
      <w:pPr>
        <w:pStyle w:val="2"/>
        <w:ind w:left="0" w:leftChars="0" w:firstLine="0" w:firstLineChars="0"/>
        <w:rPr>
          <w:rFonts w:hint="eastAsia" w:ascii="仿宋" w:hAnsi="仿宋" w:eastAsia="仿宋" w:cs="仿宋"/>
          <w:b/>
          <w:sz w:val="28"/>
          <w:szCs w:val="28"/>
          <w:lang w:val="en-US" w:eastAsia="zh-CN"/>
        </w:rPr>
      </w:pPr>
      <w:r>
        <w:rPr>
          <w:rFonts w:hint="eastAsia" w:ascii="仿宋_GB2312" w:hAnsi="仿宋" w:eastAsia="仿宋_GB2312" w:cs="仿宋"/>
          <w:b/>
          <w:sz w:val="32"/>
          <w:szCs w:val="32"/>
          <w:lang w:val="en-US" w:eastAsia="zh-CN"/>
        </w:rPr>
        <w:t xml:space="preserve">    </w:t>
      </w:r>
      <w:bookmarkStart w:id="0" w:name="_GoBack"/>
      <w:r>
        <w:rPr>
          <w:rFonts w:hint="eastAsia" w:ascii="仿宋" w:hAnsi="仿宋" w:eastAsia="仿宋" w:cs="仿宋"/>
          <w:b/>
          <w:sz w:val="28"/>
          <w:szCs w:val="28"/>
          <w:lang w:val="en-US" w:eastAsia="zh-CN"/>
        </w:rPr>
        <w:t>2025-2027年度鹤山市人民医院医疗责任保险项目</w:t>
      </w:r>
      <w:bookmarkEnd w:id="0"/>
      <w:r>
        <w:rPr>
          <w:rFonts w:hint="eastAsia" w:ascii="仿宋" w:hAnsi="仿宋" w:eastAsia="仿宋" w:cs="仿宋"/>
          <w:b/>
          <w:sz w:val="28"/>
          <w:szCs w:val="28"/>
          <w:lang w:val="en-US" w:eastAsia="zh-CN"/>
        </w:rPr>
        <w:t>采购需求</w:t>
      </w:r>
    </w:p>
    <w:p>
      <w:pPr>
        <w:numPr>
          <w:ilvl w:val="0"/>
          <w:numId w:val="0"/>
        </w:numPr>
        <w:autoSpaceDE w:val="0"/>
        <w:autoSpaceDN w:val="0"/>
        <w:rPr>
          <w:rFonts w:hint="eastAsia" w:ascii="仿宋" w:hAnsi="仿宋" w:eastAsia="仿宋" w:cs="仿宋"/>
          <w:b/>
          <w:sz w:val="28"/>
          <w:szCs w:val="28"/>
          <w:lang w:eastAsia="zh-CN"/>
        </w:rPr>
      </w:pPr>
    </w:p>
    <w:p>
      <w:pPr>
        <w:numPr>
          <w:ilvl w:val="0"/>
          <w:numId w:val="0"/>
        </w:numPr>
        <w:autoSpaceDE w:val="0"/>
        <w:autoSpaceDN w:val="0"/>
        <w:rPr>
          <w:rFonts w:hint="eastAsia" w:ascii="仿宋" w:hAnsi="仿宋" w:eastAsia="仿宋" w:cs="仿宋"/>
          <w:b w:val="0"/>
          <w:bCs/>
          <w:sz w:val="28"/>
          <w:szCs w:val="28"/>
          <w:u w:val="none"/>
        </w:rPr>
      </w:pPr>
      <w:r>
        <w:rPr>
          <w:rFonts w:hint="eastAsia" w:ascii="仿宋" w:hAnsi="仿宋" w:eastAsia="仿宋" w:cs="仿宋"/>
          <w:b/>
          <w:sz w:val="28"/>
          <w:szCs w:val="28"/>
          <w:lang w:eastAsia="zh-CN"/>
        </w:rPr>
        <w:t>一、</w:t>
      </w:r>
      <w:r>
        <w:rPr>
          <w:rFonts w:hint="eastAsia" w:ascii="仿宋" w:hAnsi="仿宋" w:eastAsia="仿宋" w:cs="仿宋"/>
          <w:b/>
          <w:sz w:val="28"/>
          <w:szCs w:val="28"/>
        </w:rPr>
        <w:t>采购项目名称：</w:t>
      </w:r>
      <w:r>
        <w:rPr>
          <w:rFonts w:hint="eastAsia" w:ascii="仿宋" w:hAnsi="仿宋" w:eastAsia="仿宋" w:cs="仿宋"/>
          <w:b w:val="0"/>
          <w:bCs/>
          <w:sz w:val="28"/>
          <w:szCs w:val="28"/>
          <w:u w:val="none"/>
          <w:lang w:val="en-US" w:eastAsia="zh-CN"/>
        </w:rPr>
        <w:t>2025-2027年度鹤</w:t>
      </w:r>
      <w:r>
        <w:rPr>
          <w:rFonts w:hint="eastAsia" w:ascii="仿宋" w:hAnsi="仿宋" w:eastAsia="仿宋" w:cs="仿宋"/>
          <w:b w:val="0"/>
          <w:bCs/>
          <w:sz w:val="28"/>
          <w:szCs w:val="28"/>
          <w:u w:val="none"/>
        </w:rPr>
        <w:t>山市人民医院医疗责任保险</w:t>
      </w:r>
    </w:p>
    <w:p>
      <w:pPr>
        <w:numPr>
          <w:ilvl w:val="0"/>
          <w:numId w:val="0"/>
        </w:numPr>
        <w:autoSpaceDE w:val="0"/>
        <w:autoSpaceDN w:val="0"/>
        <w:ind w:leftChars="-500"/>
        <w:rPr>
          <w:rFonts w:hint="eastAsia" w:ascii="仿宋" w:hAnsi="仿宋" w:eastAsia="仿宋" w:cs="仿宋"/>
          <w:b w:val="0"/>
          <w:bCs/>
          <w:sz w:val="28"/>
          <w:szCs w:val="28"/>
          <w:u w:val="none"/>
        </w:rPr>
      </w:pPr>
      <w:r>
        <w:rPr>
          <w:rFonts w:hint="eastAsia" w:ascii="仿宋" w:hAnsi="仿宋" w:eastAsia="仿宋" w:cs="仿宋"/>
          <w:b w:val="0"/>
          <w:bCs/>
          <w:sz w:val="28"/>
          <w:szCs w:val="28"/>
          <w:u w:val="none"/>
          <w:lang w:val="en-US" w:eastAsia="zh-CN"/>
        </w:rPr>
        <w:t xml:space="preserve">                                    </w:t>
      </w:r>
      <w:r>
        <w:rPr>
          <w:rFonts w:hint="eastAsia" w:ascii="仿宋" w:hAnsi="仿宋" w:eastAsia="仿宋" w:cs="仿宋"/>
          <w:b w:val="0"/>
          <w:bCs/>
          <w:sz w:val="28"/>
          <w:szCs w:val="28"/>
          <w:u w:val="none"/>
          <w:lang w:eastAsia="zh-CN"/>
        </w:rPr>
        <w:t>采购项目</w:t>
      </w:r>
      <w:r>
        <w:rPr>
          <w:rFonts w:hint="eastAsia" w:ascii="仿宋" w:hAnsi="仿宋" w:eastAsia="仿宋" w:cs="仿宋"/>
          <w:b w:val="0"/>
          <w:bCs/>
          <w:sz w:val="28"/>
          <w:szCs w:val="28"/>
          <w:u w:val="none"/>
        </w:rPr>
        <w:t xml:space="preserve"> </w:t>
      </w:r>
    </w:p>
    <w:p>
      <w:pPr>
        <w:autoSpaceDE w:val="0"/>
        <w:autoSpaceDN w:val="0"/>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、服务期限：</w:t>
      </w:r>
      <w:r>
        <w:rPr>
          <w:rFonts w:hint="eastAsia" w:ascii="仿宋" w:hAnsi="仿宋" w:eastAsia="仿宋" w:cs="仿宋"/>
          <w:b/>
          <w:sz w:val="28"/>
          <w:szCs w:val="28"/>
          <w:lang w:val="en-US" w:eastAsia="zh-CN"/>
        </w:rPr>
        <w:t>2年</w:t>
      </w:r>
    </w:p>
    <w:p>
      <w:pPr>
        <w:autoSpaceDE w:val="0"/>
        <w:autoSpaceDN w:val="0"/>
        <w:rPr>
          <w:rFonts w:hint="eastAsia" w:ascii="仿宋" w:hAnsi="仿宋" w:eastAsia="仿宋" w:cs="仿宋"/>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、采购项目内容及需求</w:t>
      </w:r>
      <w:r>
        <w:rPr>
          <w:rFonts w:hint="eastAsia" w:ascii="仿宋" w:hAnsi="仿宋" w:eastAsia="仿宋" w:cs="仿宋"/>
          <w:sz w:val="28"/>
          <w:szCs w:val="28"/>
        </w:rPr>
        <w:t>：</w:t>
      </w:r>
    </w:p>
    <w:p>
      <w:pPr>
        <w:autoSpaceDE w:val="0"/>
        <w:autoSpaceDN w:val="0"/>
        <w:ind w:left="59" w:leftChars="28" w:firstLine="560" w:firstLineChars="200"/>
        <w:rPr>
          <w:rFonts w:hint="eastAsia" w:ascii="仿宋" w:hAnsi="仿宋" w:eastAsia="仿宋" w:cs="仿宋"/>
          <w:bCs/>
          <w:sz w:val="28"/>
          <w:szCs w:val="28"/>
        </w:rPr>
      </w:pPr>
      <w:r>
        <w:rPr>
          <w:rFonts w:hint="eastAsia" w:ascii="仿宋" w:hAnsi="仿宋" w:eastAsia="仿宋" w:cs="仿宋"/>
          <w:sz w:val="28"/>
          <w:szCs w:val="28"/>
        </w:rPr>
        <w:t>本项目采购内容为鹤山市人民医院</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年度</w:t>
      </w:r>
      <w:r>
        <w:rPr>
          <w:rFonts w:hint="eastAsia" w:ascii="仿宋" w:hAnsi="仿宋" w:eastAsia="仿宋" w:cs="仿宋"/>
          <w:sz w:val="28"/>
          <w:szCs w:val="28"/>
        </w:rPr>
        <w:t>医疗责任保险服务项目采购。报价供应商不得将本项目中的内容拆散来投标。</w:t>
      </w:r>
    </w:p>
    <w:p>
      <w:pPr>
        <w:rPr>
          <w:rFonts w:hint="eastAsia"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、服务供应商资格要求</w:t>
      </w:r>
    </w:p>
    <w:p>
      <w:pPr>
        <w:tabs>
          <w:tab w:val="left" w:pos="312"/>
        </w:tabs>
        <w:ind w:firstLine="560" w:firstLineChars="200"/>
        <w:rPr>
          <w:rFonts w:hint="eastAsia" w:ascii="仿宋" w:hAnsi="仿宋" w:eastAsia="仿宋" w:cs="仿宋"/>
          <w:sz w:val="28"/>
          <w:szCs w:val="28"/>
        </w:rPr>
      </w:pPr>
      <w:r>
        <w:rPr>
          <w:rFonts w:hint="eastAsia" w:ascii="仿宋" w:hAnsi="仿宋" w:eastAsia="仿宋" w:cs="仿宋"/>
          <w:sz w:val="28"/>
          <w:szCs w:val="28"/>
        </w:rPr>
        <w:t>1.服务供应商应当是具有原中国保险监督管理委员会批准设立的保险公司（银行保险监管机构改革后有新政策的，以新政策为准），并且承保范围包括医疗责任保险，具有良好信誉，企业营业执照、保险经营许可证及相关资质证件齐全、有效。</w:t>
      </w:r>
    </w:p>
    <w:p>
      <w:pPr>
        <w:tabs>
          <w:tab w:val="left" w:pos="312"/>
        </w:tabs>
        <w:ind w:firstLine="560" w:firstLineChars="200"/>
        <w:rPr>
          <w:rFonts w:hint="eastAsia" w:ascii="仿宋" w:hAnsi="仿宋" w:eastAsia="仿宋" w:cs="仿宋"/>
          <w:sz w:val="28"/>
          <w:szCs w:val="28"/>
        </w:rPr>
      </w:pPr>
      <w:r>
        <w:rPr>
          <w:rFonts w:hint="eastAsia" w:ascii="仿宋" w:hAnsi="仿宋" w:eastAsia="仿宋" w:cs="仿宋"/>
          <w:sz w:val="28"/>
          <w:szCs w:val="28"/>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tabs>
          <w:tab w:val="left" w:pos="312"/>
        </w:tabs>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3.服务供应商须具备专门的售后服务小组，服务小组须提供上门现场服务，接到报案后根据医院需求，2小时内派专人到医院现场协助医疗纠纷调解工作。小组成员除一般的保险理赔人员外，还须有参加医疗调解经历或者医学、法律相关专业人员，并提供相应人员资质资料。若服务供应商未能按时限要求进行服务响应，当该宗医疗纠纷/案件发生实际赔付，采购方对该宗医疗纠纷/案件申请服务理赔时，不设免赔额度（即免赔额为0）。</w:t>
      </w:r>
    </w:p>
    <w:p>
      <w:pPr>
        <w:autoSpaceDE w:val="0"/>
        <w:autoSpaceDN w:val="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4.服务供应商必须具备广东省内</w:t>
      </w:r>
      <w:r>
        <w:rPr>
          <w:rFonts w:hint="eastAsia" w:ascii="仿宋" w:hAnsi="仿宋" w:eastAsia="仿宋" w:cs="仿宋"/>
          <w:sz w:val="28"/>
          <w:szCs w:val="28"/>
          <w:u w:val="single"/>
        </w:rPr>
        <w:t>至少两家三级</w:t>
      </w:r>
      <w:r>
        <w:rPr>
          <w:rFonts w:hint="eastAsia" w:ascii="仿宋" w:hAnsi="仿宋" w:eastAsia="仿宋" w:cs="仿宋"/>
          <w:sz w:val="28"/>
          <w:szCs w:val="28"/>
        </w:rPr>
        <w:t>医疗机构医疗责任保险相关服务经验，经验丰富者优先选择的条件之一（提供20</w:t>
      </w:r>
      <w:r>
        <w:rPr>
          <w:rFonts w:hint="eastAsia" w:ascii="仿宋" w:hAnsi="仿宋" w:eastAsia="仿宋" w:cs="仿宋"/>
          <w:sz w:val="28"/>
          <w:szCs w:val="28"/>
          <w:lang w:val="en-US" w:eastAsia="zh-CN"/>
        </w:rPr>
        <w:t>24</w:t>
      </w: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rPr>
        <w:t>年期间的二级或三级医疗机构保单复印件或成交采购合同复印件并加盖公章，同一医疗机构不同保险期限的只按一项承保经验计算；承保主体必须与服务供应商为同一人，承保主体与服务供应商非同一人的不予计算）；</w:t>
      </w:r>
    </w:p>
    <w:p>
      <w:pPr>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、保险服务方案要求</w:t>
      </w:r>
    </w:p>
    <w:p>
      <w:pPr>
        <w:ind w:firstLine="560" w:firstLineChars="200"/>
        <w:rPr>
          <w:rFonts w:hint="eastAsia" w:ascii="仿宋" w:hAnsi="仿宋" w:eastAsia="仿宋" w:cs="仿宋"/>
          <w:b/>
          <w:sz w:val="28"/>
          <w:szCs w:val="28"/>
        </w:rPr>
      </w:pPr>
      <w:r>
        <w:rPr>
          <w:rFonts w:hint="eastAsia" w:ascii="仿宋" w:hAnsi="仿宋" w:eastAsia="仿宋" w:cs="仿宋"/>
          <w:sz w:val="28"/>
          <w:szCs w:val="28"/>
        </w:rPr>
        <w:t>1.保险类别</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主  险：医疗责任险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附加险：</w:t>
      </w:r>
      <w:r>
        <w:rPr>
          <w:rFonts w:hint="eastAsia" w:ascii="仿宋" w:hAnsi="仿宋" w:eastAsia="仿宋" w:cs="仿宋"/>
          <w:sz w:val="28"/>
          <w:szCs w:val="28"/>
          <w:lang w:val="en-GB"/>
        </w:rPr>
        <w:t>医务人员人身伤害责任保险</w:t>
      </w:r>
      <w:r>
        <w:rPr>
          <w:rFonts w:hint="eastAsia" w:ascii="仿宋" w:hAnsi="仿宋" w:eastAsia="仿宋" w:cs="仿宋"/>
          <w:sz w:val="28"/>
          <w:szCs w:val="28"/>
        </w:rPr>
        <w:t>（医疗纠纷所致）</w:t>
      </w:r>
    </w:p>
    <w:p>
      <w:pPr>
        <w:ind w:left="420" w:leftChars="200" w:firstLine="140" w:firstLineChars="50"/>
        <w:rPr>
          <w:rFonts w:hint="eastAsia" w:ascii="仿宋" w:hAnsi="仿宋" w:eastAsia="仿宋" w:cs="仿宋"/>
          <w:sz w:val="28"/>
          <w:szCs w:val="28"/>
        </w:rPr>
      </w:pPr>
      <w:r>
        <w:rPr>
          <w:rFonts w:hint="eastAsia" w:ascii="仿宋" w:hAnsi="仿宋" w:eastAsia="仿宋" w:cs="仿宋"/>
          <w:sz w:val="28"/>
          <w:szCs w:val="28"/>
        </w:rPr>
        <w:t>2.保险期限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保险期限为</w:t>
      </w:r>
      <w:r>
        <w:rPr>
          <w:rFonts w:hint="eastAsia" w:ascii="仿宋" w:hAnsi="仿宋" w:eastAsia="仿宋" w:cs="仿宋"/>
          <w:sz w:val="28"/>
          <w:szCs w:val="28"/>
          <w:lang w:val="en-US" w:eastAsia="zh-CN"/>
        </w:rPr>
        <w:t>24</w:t>
      </w:r>
      <w:r>
        <w:rPr>
          <w:rFonts w:hint="eastAsia" w:ascii="仿宋" w:hAnsi="仿宋" w:eastAsia="仿宋" w:cs="仿宋"/>
          <w:sz w:val="28"/>
          <w:szCs w:val="28"/>
        </w:rPr>
        <w:t>个月(起保日期以保单为准）</w:t>
      </w:r>
    </w:p>
    <w:p>
      <w:pPr>
        <w:ind w:firstLine="560" w:firstLineChars="200"/>
        <w:rPr>
          <w:rFonts w:hint="eastAsia" w:ascii="仿宋" w:hAnsi="仿宋" w:eastAsia="仿宋" w:cs="仿宋"/>
          <w:color w:val="auto"/>
          <w:sz w:val="28"/>
          <w:szCs w:val="28"/>
        </w:rPr>
      </w:pPr>
      <w:r>
        <w:rPr>
          <w:rFonts w:hint="eastAsia" w:ascii="仿宋" w:hAnsi="仿宋" w:eastAsia="仿宋" w:cs="仿宋"/>
          <w:sz w:val="28"/>
          <w:szCs w:val="28"/>
        </w:rPr>
        <w:t>3.保险金额（</w:t>
      </w:r>
      <w:r>
        <w:rPr>
          <w:rFonts w:hint="eastAsia" w:ascii="仿宋" w:hAnsi="仿宋" w:eastAsia="仿宋" w:cs="仿宋"/>
          <w:color w:val="auto"/>
          <w:sz w:val="28"/>
          <w:szCs w:val="28"/>
        </w:rPr>
        <w:t>货币均为人民币）</w:t>
      </w:r>
    </w:p>
    <w:p>
      <w:pPr>
        <w:tabs>
          <w:tab w:val="left" w:pos="360"/>
        </w:tabs>
        <w:ind w:left="63" w:leftChars="3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主  险：保险期限内累计赔偿限额300万元/年；每位患者每次赔偿限额60万元（</w:t>
      </w:r>
      <w:r>
        <w:rPr>
          <w:rFonts w:hint="eastAsia" w:ascii="仿宋" w:hAnsi="仿宋" w:eastAsia="仿宋" w:cs="仿宋"/>
          <w:color w:val="auto"/>
          <w:sz w:val="28"/>
          <w:szCs w:val="28"/>
          <w:lang w:val="en-GB"/>
        </w:rPr>
        <w:t>其中鉴定费用最高2.5万元；法律费用最高</w:t>
      </w:r>
      <w:r>
        <w:rPr>
          <w:rFonts w:hint="eastAsia" w:ascii="仿宋" w:hAnsi="仿宋" w:eastAsia="仿宋" w:cs="仿宋"/>
          <w:color w:val="auto"/>
          <w:sz w:val="28"/>
          <w:szCs w:val="28"/>
        </w:rPr>
        <w:t>8</w:t>
      </w:r>
      <w:r>
        <w:rPr>
          <w:rFonts w:hint="eastAsia" w:ascii="仿宋" w:hAnsi="仿宋" w:eastAsia="仿宋" w:cs="仿宋"/>
          <w:color w:val="auto"/>
          <w:sz w:val="28"/>
          <w:szCs w:val="28"/>
          <w:lang w:val="en-GB"/>
        </w:rPr>
        <w:t>万元；精神损害费用最高10万元）</w:t>
      </w:r>
      <w:r>
        <w:rPr>
          <w:rFonts w:hint="eastAsia" w:ascii="仿宋" w:hAnsi="仿宋" w:eastAsia="仿宋" w:cs="仿宋"/>
          <w:color w:val="auto"/>
          <w:sz w:val="28"/>
          <w:szCs w:val="28"/>
          <w:lang w:val="en-GB" w:eastAsia="zh-CN"/>
        </w:rPr>
        <w:t>，</w:t>
      </w:r>
      <w:r>
        <w:rPr>
          <w:rFonts w:hint="eastAsia" w:ascii="仿宋" w:hAnsi="仿宋" w:eastAsia="仿宋" w:cs="仿宋"/>
          <w:color w:val="auto"/>
          <w:sz w:val="28"/>
          <w:szCs w:val="28"/>
        </w:rPr>
        <w:t>不设免赔额。（法律费用包括：事故鉴定费、查勘费、取证费、仲裁或诉讼费、案件受理费、律师费等）</w:t>
      </w:r>
    </w:p>
    <w:p>
      <w:pPr>
        <w:pStyle w:val="3"/>
        <w:ind w:left="36" w:leftChars="17"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附加险：</w:t>
      </w:r>
      <w:r>
        <w:rPr>
          <w:rFonts w:hint="eastAsia" w:ascii="仿宋" w:hAnsi="仿宋" w:eastAsia="仿宋" w:cs="仿宋"/>
          <w:color w:val="auto"/>
          <w:sz w:val="28"/>
          <w:szCs w:val="28"/>
          <w:lang w:val="en-GB"/>
        </w:rPr>
        <w:t>医务人员人身伤害责任保险</w:t>
      </w:r>
      <w:r>
        <w:rPr>
          <w:rFonts w:hint="eastAsia" w:ascii="仿宋" w:hAnsi="仿宋" w:eastAsia="仿宋" w:cs="仿宋"/>
          <w:color w:val="auto"/>
          <w:sz w:val="28"/>
          <w:szCs w:val="28"/>
        </w:rPr>
        <w:t>（医疗纠纷所致）累计保险年度内赔偿限额40万元/年；人身伤害每人每次赔偿限额6万元；发生死亡者，赔偿限额20万元/人。附加险不设免赔额度。</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4.医疗责任险保障的单位,部门或情形</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（1）鹤山市人民医院（鹤山市沙坪接待铁夫南路与325国道复线交汇处）；</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）鹤山市人民医院社区卫生服务中心(鹤山市沙坪镇裕民路)；</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）鹤山市人民医院驻鹤山市看守所卫生所(鹤山市看守所内)；</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）鹤山市人民医院驻鹤山市拘留所、戒毒所卫生所(鹤山市拘留戒毒所内)；</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）上述5个单位(部门)在院前急救，转运病人(含拘留/在押人员)过程中发生的医疗风险；</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）鹤山市人民医院派驻医务人员到医共体属下7家分院（共和镇卫生院、沙坪镇卫生院、雅瑶卫生院、桃源卫生院、宅梧镇卫生院、鹤城卫生院和西江医院）进行诊疗工作中发生的医疗风险。</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）外院专家到我院进行诊疗工作发生的医疗风险。</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5.服务供应商须建立简易理赔机制,对于索赔金额不超人民币</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万元的医疗纠纷,属于本保单保险责任内,经医患双方协商或者医调委调解解决的，实行简易快速理赔。在保险期限内,年累计赔偿限额为人民币10万元,并在医疗纠纷的赔偿限额内计赔。</w:t>
      </w:r>
    </w:p>
    <w:p>
      <w:pPr>
        <w:pStyle w:val="3"/>
        <w:ind w:firstLine="700" w:firstLineChars="25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6.在采购方提出需求时，保险服务提供商指定专人负责对接医院服务,包括收集整理理赔资料、参加医疗纠纷调解或者作为代理人代表医院到医调委参加调解工作。</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7.参考数据</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投保人数: </w:t>
      </w:r>
      <w:r>
        <w:rPr>
          <w:rFonts w:hint="eastAsia" w:ascii="仿宋" w:hAnsi="仿宋" w:eastAsia="仿宋" w:cs="仿宋"/>
          <w:color w:val="auto"/>
          <w:sz w:val="28"/>
          <w:szCs w:val="28"/>
          <w:u w:val="single"/>
          <w:lang w:val="en-US" w:eastAsia="zh-CN"/>
        </w:rPr>
        <w:t>900</w:t>
      </w:r>
      <w:r>
        <w:rPr>
          <w:rFonts w:hint="eastAsia" w:ascii="仿宋" w:hAnsi="仿宋" w:eastAsia="仿宋" w:cs="仿宋"/>
          <w:color w:val="auto"/>
          <w:sz w:val="28"/>
          <w:szCs w:val="28"/>
        </w:rPr>
        <w:t>人,允许有10%的人员变动(离退休,新入职等因素)</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投保床位数:</w:t>
      </w:r>
      <w:r>
        <w:rPr>
          <w:rFonts w:hint="eastAsia" w:ascii="仿宋" w:hAnsi="仿宋" w:eastAsia="仿宋" w:cs="仿宋"/>
          <w:color w:val="auto"/>
          <w:sz w:val="28"/>
          <w:szCs w:val="28"/>
          <w:u w:val="single"/>
          <w:lang w:val="en-US" w:eastAsia="zh-CN"/>
        </w:rPr>
        <w:t>588</w:t>
      </w:r>
      <w:r>
        <w:rPr>
          <w:rFonts w:hint="eastAsia" w:ascii="仿宋" w:hAnsi="仿宋" w:eastAsia="仿宋" w:cs="仿宋"/>
          <w:color w:val="auto"/>
          <w:sz w:val="28"/>
          <w:szCs w:val="28"/>
        </w:rPr>
        <w:t>床</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年度入室手术量:</w:t>
      </w:r>
      <w:r>
        <w:rPr>
          <w:rFonts w:hint="eastAsia" w:ascii="仿宋" w:hAnsi="仿宋" w:eastAsia="仿宋" w:cs="仿宋"/>
          <w:color w:val="auto"/>
          <w:sz w:val="28"/>
          <w:szCs w:val="28"/>
          <w:u w:val="single"/>
          <w:lang w:val="en-US" w:eastAsia="zh-CN"/>
        </w:rPr>
        <w:t>7409</w:t>
      </w:r>
      <w:r>
        <w:rPr>
          <w:rFonts w:hint="eastAsia" w:ascii="仿宋" w:hAnsi="仿宋" w:eastAsia="仿宋" w:cs="仿宋"/>
          <w:color w:val="auto"/>
          <w:sz w:val="28"/>
          <w:szCs w:val="28"/>
        </w:rPr>
        <w:t>台次</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年门诊量:</w:t>
      </w:r>
      <w:r>
        <w:rPr>
          <w:rFonts w:hint="eastAsia" w:ascii="仿宋" w:hAnsi="仿宋" w:eastAsia="仿宋" w:cs="仿宋"/>
          <w:color w:val="auto"/>
          <w:sz w:val="28"/>
          <w:szCs w:val="28"/>
          <w:u w:val="single"/>
          <w:lang w:val="en-US" w:eastAsia="zh-CN"/>
        </w:rPr>
        <w:t>108</w:t>
      </w:r>
      <w:r>
        <w:rPr>
          <w:rFonts w:hint="eastAsia" w:ascii="仿宋" w:hAnsi="仿宋" w:eastAsia="仿宋" w:cs="仿宋"/>
          <w:color w:val="auto"/>
          <w:sz w:val="28"/>
          <w:szCs w:val="28"/>
        </w:rPr>
        <w:t>万</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年出院人数:</w:t>
      </w:r>
      <w:r>
        <w:rPr>
          <w:rFonts w:hint="eastAsia" w:ascii="仿宋" w:hAnsi="仿宋" w:eastAsia="仿宋" w:cs="仿宋"/>
          <w:color w:val="auto"/>
          <w:sz w:val="28"/>
          <w:szCs w:val="28"/>
          <w:u w:val="single"/>
          <w:lang w:val="en-US" w:eastAsia="zh-CN"/>
        </w:rPr>
        <w:t>30779</w:t>
      </w:r>
      <w:r>
        <w:rPr>
          <w:rFonts w:hint="eastAsia" w:ascii="仿宋" w:hAnsi="仿宋" w:eastAsia="仿宋" w:cs="仿宋"/>
          <w:color w:val="auto"/>
          <w:sz w:val="28"/>
          <w:szCs w:val="28"/>
        </w:rPr>
        <w:t>人次</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8.本次采购的服务供应报价应为人民币含税全包价。</w:t>
      </w:r>
    </w:p>
    <w:p>
      <w:pPr>
        <w:pStyle w:val="3"/>
        <w:rPr>
          <w:rFonts w:hint="eastAsia" w:ascii="仿宋" w:hAnsi="仿宋" w:eastAsia="仿宋" w:cs="仿宋"/>
          <w:b/>
          <w:color w:val="auto"/>
          <w:sz w:val="28"/>
          <w:szCs w:val="28"/>
        </w:rPr>
      </w:pPr>
    </w:p>
    <w:p>
      <w:pPr>
        <w:pStyle w:val="3"/>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六</w:t>
      </w:r>
      <w:r>
        <w:rPr>
          <w:rFonts w:hint="eastAsia" w:ascii="仿宋" w:hAnsi="仿宋" w:eastAsia="仿宋" w:cs="仿宋"/>
          <w:b/>
          <w:color w:val="auto"/>
          <w:sz w:val="28"/>
          <w:szCs w:val="28"/>
        </w:rPr>
        <w:t>、其他要求</w:t>
      </w:r>
    </w:p>
    <w:p>
      <w:pPr>
        <w:pStyle w:val="3"/>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本采购需求书中带“</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的部分为必须满足部分,不达到要求的服务供应商不予成交采购。本次采购采用综合评比方法,以采购要求文件规定的条件为原则，对各服务供应商所报的保险费率、承保及偿付方案、服务计划、同类项目承保经验以及参与项目人员情况等方面内容进行综合比较。最低报价不作为采购的唯一依据。</w:t>
      </w:r>
    </w:p>
    <w:p>
      <w:pPr>
        <w:pStyle w:val="3"/>
        <w:ind w:firstLine="560" w:firstLineChars="200"/>
        <w:rPr>
          <w:rFonts w:hint="eastAsia" w:ascii="仿宋" w:hAnsi="仿宋" w:eastAsia="仿宋" w:cs="仿宋"/>
          <w:color w:val="auto"/>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七</w:t>
      </w:r>
      <w:r>
        <w:rPr>
          <w:rFonts w:hint="eastAsia" w:ascii="仿宋" w:hAnsi="仿宋" w:eastAsia="仿宋" w:cs="仿宋"/>
          <w:b/>
          <w:bCs/>
          <w:color w:val="auto"/>
          <w:sz w:val="28"/>
          <w:szCs w:val="28"/>
        </w:rPr>
        <w:t>、结算方式</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一次性付款。</w:t>
      </w:r>
    </w:p>
    <w:p>
      <w:pPr>
        <w:pStyle w:val="2"/>
        <w:ind w:left="0" w:leftChars="0" w:firstLine="0" w:firstLineChars="0"/>
        <w:rPr>
          <w:rFonts w:hint="eastAsia" w:eastAsia="仿宋"/>
          <w:b/>
          <w:bCs/>
          <w:lang w:val="en-US" w:eastAsia="zh-CN"/>
        </w:rPr>
      </w:pPr>
    </w:p>
    <w:p>
      <w:pPr>
        <w:pStyle w:val="2"/>
        <w:ind w:left="0" w:leftChars="0" w:firstLine="0" w:firstLineChars="0"/>
        <w:rPr>
          <w:rFonts w:hint="eastAsia" w:eastAsia="仿宋"/>
          <w:b/>
          <w:bCs/>
          <w:sz w:val="28"/>
          <w:szCs w:val="28"/>
          <w:lang w:val="en-US" w:eastAsia="zh-CN"/>
        </w:rPr>
      </w:pPr>
      <w:r>
        <w:rPr>
          <w:rFonts w:hint="eastAsia" w:eastAsia="仿宋"/>
          <w:b/>
          <w:bCs/>
          <w:sz w:val="28"/>
          <w:szCs w:val="28"/>
          <w:lang w:val="en-US" w:eastAsia="zh-CN"/>
        </w:rPr>
        <w:t>八、预算金额：100万元</w:t>
      </w:r>
    </w:p>
    <w:p>
      <w:pPr>
        <w:rPr>
          <w:rFonts w:hint="eastAsia" w:ascii="仿宋" w:hAnsi="仿宋" w:eastAsia="仿宋" w:cs="仿宋"/>
          <w:b/>
          <w:bCs/>
          <w:color w:val="auto"/>
          <w:sz w:val="28"/>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长城仿宋">
    <w:altName w:val="黑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hNWZlZDVkMDJhNTZhZDVlYTgxMmNhZmVjZjk4NGIifQ=="/>
  </w:docVars>
  <w:rsids>
    <w:rsidRoot w:val="00A718FF"/>
    <w:rsid w:val="000110DF"/>
    <w:rsid w:val="00034B0E"/>
    <w:rsid w:val="00061411"/>
    <w:rsid w:val="00070C88"/>
    <w:rsid w:val="000F458E"/>
    <w:rsid w:val="00115744"/>
    <w:rsid w:val="002B565D"/>
    <w:rsid w:val="002F4706"/>
    <w:rsid w:val="003137BA"/>
    <w:rsid w:val="00404777"/>
    <w:rsid w:val="004A2736"/>
    <w:rsid w:val="004E1592"/>
    <w:rsid w:val="00531D91"/>
    <w:rsid w:val="00543327"/>
    <w:rsid w:val="00623A5E"/>
    <w:rsid w:val="0065032F"/>
    <w:rsid w:val="006756A7"/>
    <w:rsid w:val="00691BCA"/>
    <w:rsid w:val="00890F53"/>
    <w:rsid w:val="0092616A"/>
    <w:rsid w:val="00A718FF"/>
    <w:rsid w:val="00B5313D"/>
    <w:rsid w:val="00BB3B8D"/>
    <w:rsid w:val="00BC7CCD"/>
    <w:rsid w:val="00CD72E5"/>
    <w:rsid w:val="00CD7746"/>
    <w:rsid w:val="00D67EFE"/>
    <w:rsid w:val="00DD2379"/>
    <w:rsid w:val="00E26A00"/>
    <w:rsid w:val="00E51C56"/>
    <w:rsid w:val="00F13AC9"/>
    <w:rsid w:val="00FB4DC1"/>
    <w:rsid w:val="02BD0F83"/>
    <w:rsid w:val="079833A2"/>
    <w:rsid w:val="0CC83A2C"/>
    <w:rsid w:val="171C4DC0"/>
    <w:rsid w:val="1C7F5BD5"/>
    <w:rsid w:val="215E23E9"/>
    <w:rsid w:val="245A04CE"/>
    <w:rsid w:val="28724531"/>
    <w:rsid w:val="2C35180C"/>
    <w:rsid w:val="30BC0D4E"/>
    <w:rsid w:val="32766B53"/>
    <w:rsid w:val="33D51E1B"/>
    <w:rsid w:val="3E3C21B6"/>
    <w:rsid w:val="3F1E081E"/>
    <w:rsid w:val="47626CFF"/>
    <w:rsid w:val="47CD2EB1"/>
    <w:rsid w:val="47E67776"/>
    <w:rsid w:val="4EF16D96"/>
    <w:rsid w:val="54431E57"/>
    <w:rsid w:val="571F4BD3"/>
    <w:rsid w:val="5B7F6401"/>
    <w:rsid w:val="5F9754EC"/>
    <w:rsid w:val="6174408F"/>
    <w:rsid w:val="62113126"/>
    <w:rsid w:val="702667CC"/>
    <w:rsid w:val="703B57B4"/>
    <w:rsid w:val="70952B7C"/>
    <w:rsid w:val="71BA2A2D"/>
    <w:rsid w:val="7E1F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3">
    <w:name w:val="Plain Text"/>
    <w:basedOn w:val="1"/>
    <w:link w:val="7"/>
    <w:qFormat/>
    <w:uiPriority w:val="0"/>
    <w:rPr>
      <w:rFonts w:ascii="宋体" w:hAnsi="Courier New"/>
    </w:rPr>
  </w:style>
  <w:style w:type="character" w:customStyle="1" w:styleId="6">
    <w:name w:val="纯文本 字符"/>
    <w:basedOn w:val="4"/>
    <w:semiHidden/>
    <w:qFormat/>
    <w:uiPriority w:val="99"/>
    <w:rPr>
      <w:rFonts w:hAnsi="Courier New" w:cs="Courier New" w:asciiTheme="minorEastAsia"/>
    </w:rPr>
  </w:style>
  <w:style w:type="character" w:customStyle="1" w:styleId="7">
    <w:name w:val="纯文本 字符1"/>
    <w:link w:val="3"/>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1769</Words>
  <Characters>1896</Characters>
  <Lines>13</Lines>
  <Paragraphs>3</Paragraphs>
  <ScaleCrop>false</ScaleCrop>
  <LinksUpToDate>false</LinksUpToDate>
  <CharactersWithSpaces>1906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2021-03-15T07:19:00Z</dcterms:created>
  <dc:creator>Microsoft Office User</dc:creator>
  <cp:lastModifiedBy>Administrator</cp:lastModifiedBy>
  <dcterms:modified xsi:type="dcterms:W3CDTF">2025-03-28T07:25:59Z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265160239_btnclosed</vt:lpwstr>
  </property>
  <property fmtid="{D5CDD505-2E9C-101B-9397-08002B2CF9AE}" pid="3" name="KSOProductBuildVer">
    <vt:lpwstr>2052-10.1.0.6930</vt:lpwstr>
  </property>
  <property fmtid="{D5CDD505-2E9C-101B-9397-08002B2CF9AE}" pid="4" name="ICV">
    <vt:lpwstr>7CAE83A85483498C915650AC8EB17382_13</vt:lpwstr>
  </property>
  <property fmtid="{D5CDD505-2E9C-101B-9397-08002B2CF9AE}" pid="5" name="KSOTemplateDocerSaveRecord">
    <vt:lpwstr>eyJoZGlkIjoiNDA0OGQ5NzU1ODYwN2VkZGYzMTM4MThkZWM4NTQxY2EiLCJ1c2VySWQiOiIyNjUxNjAyMzkifQ==</vt:lpwstr>
  </property>
</Properties>
</file>