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964"/>
        <w:jc w:val="center"/>
        <w:rPr>
          <w:rFonts w:ascii="宋体" w:hAnsi="宋体" w:cs="宋体"/>
          <w:color w:val="000000"/>
          <w:sz w:val="24"/>
        </w:rPr>
      </w:pPr>
      <w:r>
        <w:rPr>
          <w:rFonts w:hint="eastAsia" w:ascii="宋体" w:hAnsi="宋体" w:cs="宋体"/>
          <w:b/>
          <w:color w:val="000000"/>
          <w:kern w:val="0"/>
          <w:sz w:val="48"/>
          <w:szCs w:val="48"/>
        </w:rPr>
        <w:t>用 户 需 求 书</w:t>
      </w:r>
    </w:p>
    <w:p>
      <w:pPr>
        <w:pStyle w:val="2"/>
        <w:widowControl/>
        <w:numPr>
          <w:ilvl w:val="1"/>
          <w:numId w:val="0"/>
        </w:numPr>
        <w:ind w:firstLine="643" w:firstLineChars="200"/>
        <w:jc w:val="both"/>
        <w:rPr>
          <w:rFonts w:ascii="宋体" w:hAnsi="宋体" w:eastAsia="宋体" w:cs="宋体"/>
          <w:color w:val="000000"/>
        </w:rPr>
      </w:pPr>
      <w:r>
        <w:rPr>
          <w:rFonts w:hint="eastAsia" w:ascii="宋体" w:hAnsi="宋体" w:eastAsia="宋体" w:cs="宋体"/>
          <w:color w:val="000000"/>
          <w:lang w:eastAsia="zh-CN"/>
        </w:rPr>
        <w:t>一、</w:t>
      </w:r>
      <w:r>
        <w:rPr>
          <w:rFonts w:hint="eastAsia" w:ascii="宋体" w:hAnsi="宋体" w:eastAsia="宋体" w:cs="宋体"/>
          <w:color w:val="000000"/>
        </w:rPr>
        <w:t>项目概况</w:t>
      </w:r>
    </w:p>
    <w:p>
      <w:pPr>
        <w:numPr>
          <w:ilvl w:val="0"/>
          <w:numId w:val="3"/>
        </w:numPr>
        <w:spacing w:line="360" w:lineRule="auto"/>
        <w:ind w:firstLine="482"/>
        <w:rPr>
          <w:rFonts w:hint="eastAsia" w:ascii="宋体" w:hAnsi="宋体" w:cs="宋体"/>
          <w:b/>
          <w:sz w:val="24"/>
          <w:szCs w:val="24"/>
        </w:rPr>
      </w:pPr>
      <w:r>
        <w:rPr>
          <w:rFonts w:hint="eastAsia" w:ascii="宋体" w:hAnsi="宋体" w:cs="宋体"/>
          <w:b/>
          <w:sz w:val="24"/>
          <w:szCs w:val="24"/>
        </w:rPr>
        <w:t>项目名称：鹤山市人民医院医共体2025-202</w:t>
      </w:r>
      <w:r>
        <w:rPr>
          <w:rFonts w:hint="eastAsia" w:ascii="宋体" w:hAnsi="宋体" w:cs="宋体"/>
          <w:b/>
          <w:sz w:val="24"/>
          <w:szCs w:val="24"/>
          <w:lang w:val="en-US" w:eastAsia="zh-CN"/>
        </w:rPr>
        <w:t>7</w:t>
      </w:r>
      <w:bookmarkStart w:id="0" w:name="_GoBack"/>
      <w:bookmarkEnd w:id="0"/>
      <w:r>
        <w:rPr>
          <w:rFonts w:hint="eastAsia" w:ascii="宋体" w:hAnsi="宋体" w:cs="宋体"/>
          <w:b/>
          <w:sz w:val="24"/>
          <w:szCs w:val="24"/>
        </w:rPr>
        <w:t>年度检验外送服务</w:t>
      </w:r>
      <w:r>
        <w:rPr>
          <w:rFonts w:hint="eastAsia" w:ascii="宋体" w:hAnsi="宋体" w:cs="宋体"/>
          <w:b/>
          <w:sz w:val="24"/>
          <w:szCs w:val="24"/>
          <w:lang w:eastAsia="zh-CN"/>
        </w:rPr>
        <w:t>采购</w:t>
      </w:r>
      <w:r>
        <w:rPr>
          <w:rFonts w:hint="eastAsia" w:ascii="宋体" w:hAnsi="宋体" w:cs="宋体"/>
          <w:b/>
          <w:sz w:val="24"/>
          <w:szCs w:val="24"/>
        </w:rPr>
        <w:t>项目</w:t>
      </w:r>
    </w:p>
    <w:p>
      <w:pPr>
        <w:numPr>
          <w:ilvl w:val="0"/>
          <w:numId w:val="3"/>
        </w:numPr>
        <w:spacing w:line="360" w:lineRule="auto"/>
        <w:ind w:firstLine="482"/>
        <w:rPr>
          <w:rFonts w:ascii="宋体" w:hAnsi="宋体" w:cs="宋体"/>
          <w:b/>
          <w:sz w:val="24"/>
          <w:szCs w:val="24"/>
        </w:rPr>
      </w:pPr>
      <w:r>
        <w:rPr>
          <w:rFonts w:hint="eastAsia" w:ascii="宋体" w:hAnsi="宋体" w:cs="宋体"/>
          <w:b/>
          <w:sz w:val="24"/>
          <w:szCs w:val="24"/>
        </w:rPr>
        <w:t>项目标的：</w:t>
      </w:r>
    </w:p>
    <w:tbl>
      <w:tblPr>
        <w:tblStyle w:val="17"/>
        <w:tblW w:w="9213"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27"/>
        <w:gridCol w:w="1956"/>
        <w:gridCol w:w="2150"/>
        <w:gridCol w:w="12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827" w:type="dxa"/>
            <w:vAlign w:val="center"/>
          </w:tcPr>
          <w:p>
            <w:pPr>
              <w:spacing w:line="360" w:lineRule="auto"/>
              <w:ind w:firstLine="482"/>
              <w:jc w:val="center"/>
              <w:rPr>
                <w:rFonts w:ascii="宋体" w:hAnsi="宋体" w:cs="宋体"/>
                <w:b/>
                <w:sz w:val="24"/>
                <w:szCs w:val="24"/>
              </w:rPr>
            </w:pPr>
            <w:r>
              <w:rPr>
                <w:rFonts w:hint="eastAsia" w:ascii="宋体" w:hAnsi="宋体" w:cs="宋体"/>
                <w:b/>
                <w:sz w:val="24"/>
                <w:szCs w:val="24"/>
              </w:rPr>
              <w:t>标的内容</w:t>
            </w:r>
          </w:p>
        </w:tc>
        <w:tc>
          <w:tcPr>
            <w:tcW w:w="1956" w:type="dxa"/>
            <w:vAlign w:val="center"/>
          </w:tcPr>
          <w:p>
            <w:pPr>
              <w:spacing w:line="360" w:lineRule="auto"/>
              <w:ind w:firstLine="482"/>
              <w:jc w:val="center"/>
              <w:rPr>
                <w:rFonts w:ascii="宋体" w:hAnsi="宋体" w:cs="宋体"/>
                <w:b/>
                <w:sz w:val="24"/>
                <w:szCs w:val="24"/>
              </w:rPr>
            </w:pPr>
            <w:r>
              <w:rPr>
                <w:rFonts w:hint="eastAsia" w:ascii="宋体" w:hAnsi="宋体" w:cs="宋体"/>
                <w:b/>
                <w:sz w:val="24"/>
                <w:szCs w:val="24"/>
              </w:rPr>
              <w:t>服务年限</w:t>
            </w:r>
          </w:p>
        </w:tc>
        <w:tc>
          <w:tcPr>
            <w:tcW w:w="2150" w:type="dxa"/>
          </w:tcPr>
          <w:p>
            <w:pPr>
              <w:spacing w:line="360" w:lineRule="auto"/>
              <w:ind w:firstLine="482"/>
              <w:jc w:val="center"/>
              <w:rPr>
                <w:rFonts w:ascii="宋体" w:hAnsi="宋体" w:cs="宋体"/>
                <w:b/>
                <w:sz w:val="24"/>
                <w:szCs w:val="24"/>
              </w:rPr>
            </w:pPr>
            <w:r>
              <w:rPr>
                <w:rFonts w:hint="eastAsia" w:ascii="宋体" w:hAnsi="宋体" w:cs="宋体"/>
                <w:b/>
                <w:sz w:val="24"/>
                <w:szCs w:val="24"/>
              </w:rPr>
              <w:t>采购预算</w:t>
            </w:r>
          </w:p>
        </w:tc>
        <w:tc>
          <w:tcPr>
            <w:tcW w:w="1280" w:type="dxa"/>
            <w:vAlign w:val="center"/>
          </w:tcPr>
          <w:p>
            <w:pPr>
              <w:spacing w:line="360" w:lineRule="auto"/>
              <w:ind w:firstLine="482"/>
              <w:jc w:val="center"/>
              <w:rPr>
                <w:rFonts w:ascii="宋体" w:hAnsi="宋体" w:cs="宋体"/>
                <w:b/>
                <w:sz w:val="24"/>
                <w:szCs w:val="24"/>
              </w:rPr>
            </w:pPr>
            <w:r>
              <w:rPr>
                <w:rFonts w:hint="eastAsia" w:ascii="宋体" w:hAnsi="宋体" w:cs="宋体"/>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9" w:hRule="atLeast"/>
          <w:jc w:val="center"/>
        </w:trPr>
        <w:tc>
          <w:tcPr>
            <w:tcW w:w="3827" w:type="dxa"/>
            <w:vAlign w:val="center"/>
          </w:tcPr>
          <w:p>
            <w:pPr>
              <w:spacing w:line="360" w:lineRule="auto"/>
              <w:jc w:val="center"/>
              <w:rPr>
                <w:rFonts w:ascii="宋体" w:hAnsi="宋体" w:cs="宋体"/>
                <w:sz w:val="24"/>
                <w:szCs w:val="24"/>
              </w:rPr>
            </w:pPr>
            <w:r>
              <w:rPr>
                <w:rFonts w:hint="eastAsia" w:ascii="宋体" w:hAnsi="宋体" w:cs="宋体"/>
                <w:sz w:val="24"/>
                <w:szCs w:val="24"/>
              </w:rPr>
              <w:t>第三方检验检测外送服务项目</w:t>
            </w:r>
          </w:p>
        </w:tc>
        <w:tc>
          <w:tcPr>
            <w:tcW w:w="1956" w:type="dxa"/>
            <w:vAlign w:val="center"/>
          </w:tcPr>
          <w:p>
            <w:pPr>
              <w:spacing w:line="360" w:lineRule="auto"/>
              <w:jc w:val="center"/>
              <w:rPr>
                <w:rFonts w:ascii="宋体" w:hAnsi="宋体" w:cs="宋体"/>
                <w:sz w:val="24"/>
                <w:szCs w:val="24"/>
              </w:rPr>
            </w:pPr>
            <w:r>
              <w:rPr>
                <w:rFonts w:hint="eastAsia" w:ascii="宋体" w:hAnsi="宋体" w:cs="宋体"/>
                <w:sz w:val="24"/>
                <w:szCs w:val="24"/>
              </w:rPr>
              <w:t>2年</w:t>
            </w:r>
          </w:p>
        </w:tc>
        <w:tc>
          <w:tcPr>
            <w:tcW w:w="2150" w:type="dxa"/>
            <w:vAlign w:val="center"/>
          </w:tcPr>
          <w:p>
            <w:pPr>
              <w:spacing w:line="360" w:lineRule="auto"/>
              <w:jc w:val="center"/>
              <w:rPr>
                <w:rFonts w:ascii="宋体" w:hAnsi="宋体" w:cs="宋体"/>
                <w:sz w:val="24"/>
                <w:szCs w:val="24"/>
              </w:rPr>
            </w:pPr>
            <w:r>
              <w:rPr>
                <w:rFonts w:hint="eastAsia" w:ascii="宋体" w:hAnsi="宋体" w:cs="宋体"/>
                <w:sz w:val="24"/>
                <w:szCs w:val="24"/>
                <w:lang w:val="en-US" w:eastAsia="zh-CN"/>
              </w:rPr>
              <w:t>240</w:t>
            </w:r>
            <w:r>
              <w:rPr>
                <w:rFonts w:hint="eastAsia" w:ascii="宋体" w:hAnsi="宋体" w:cs="宋体"/>
                <w:sz w:val="24"/>
                <w:szCs w:val="24"/>
              </w:rPr>
              <w:t>万元</w:t>
            </w:r>
          </w:p>
        </w:tc>
        <w:tc>
          <w:tcPr>
            <w:tcW w:w="1280" w:type="dxa"/>
            <w:vAlign w:val="center"/>
          </w:tcPr>
          <w:p>
            <w:pPr>
              <w:spacing w:line="360" w:lineRule="auto"/>
              <w:jc w:val="center"/>
              <w:rPr>
                <w:rFonts w:ascii="宋体" w:hAnsi="宋体" w:cs="宋体"/>
                <w:sz w:val="24"/>
                <w:szCs w:val="24"/>
              </w:rPr>
            </w:pPr>
          </w:p>
        </w:tc>
      </w:tr>
    </w:tbl>
    <w:p>
      <w:pPr>
        <w:ind w:firstLine="480"/>
        <w:rPr>
          <w:rFonts w:ascii="宋体" w:hAnsi="宋体" w:cs="宋体"/>
        </w:rPr>
      </w:pPr>
    </w:p>
    <w:p>
      <w:pPr>
        <w:ind w:firstLine="480"/>
        <w:rPr>
          <w:rFonts w:ascii="宋体" w:hAnsi="宋体" w:cs="宋体"/>
        </w:rPr>
      </w:pPr>
    </w:p>
    <w:p>
      <w:pPr>
        <w:pStyle w:val="2"/>
        <w:widowControl/>
        <w:numPr>
          <w:ilvl w:val="0"/>
          <w:numId w:val="0"/>
        </w:numPr>
        <w:ind w:left="992" w:hanging="992"/>
        <w:jc w:val="both"/>
        <w:rPr>
          <w:rFonts w:ascii="宋体" w:hAnsi="宋体" w:eastAsia="宋体" w:cs="宋体"/>
        </w:rPr>
      </w:pPr>
      <w:r>
        <w:rPr>
          <w:rFonts w:hint="eastAsia" w:ascii="宋体" w:hAnsi="宋体" w:eastAsia="宋体" w:cs="宋体"/>
          <w:color w:val="000000"/>
        </w:rPr>
        <w:t>二、资格要求</w:t>
      </w:r>
    </w:p>
    <w:p>
      <w:pPr>
        <w:numPr>
          <w:ilvl w:val="1"/>
          <w:numId w:val="4"/>
        </w:numPr>
        <w:adjustRightInd w:val="0"/>
        <w:snapToGrid w:val="0"/>
        <w:spacing w:line="360" w:lineRule="auto"/>
        <w:ind w:firstLine="480"/>
        <w:rPr>
          <w:rFonts w:ascii="宋体" w:hAnsi="宋体" w:cs="宋体"/>
          <w:bCs/>
          <w:color w:val="FF0000"/>
          <w:sz w:val="24"/>
          <w:szCs w:val="22"/>
        </w:rPr>
      </w:pPr>
      <w:r>
        <w:rPr>
          <w:rFonts w:hint="eastAsia" w:ascii="宋体" w:hAnsi="宋体" w:cs="宋体"/>
          <w:bCs/>
          <w:sz w:val="24"/>
          <w:szCs w:val="22"/>
        </w:rPr>
        <w:t>供应商应具备《政府采购法》第二十二条规定的条件；</w:t>
      </w:r>
    </w:p>
    <w:p>
      <w:pPr>
        <w:numPr>
          <w:ilvl w:val="1"/>
          <w:numId w:val="4"/>
        </w:numPr>
        <w:adjustRightInd w:val="0"/>
        <w:snapToGrid w:val="0"/>
        <w:spacing w:line="360" w:lineRule="auto"/>
        <w:ind w:firstLine="480"/>
        <w:rPr>
          <w:rFonts w:ascii="宋体" w:hAnsi="宋体" w:cs="宋体"/>
          <w:bCs/>
          <w:sz w:val="24"/>
          <w:szCs w:val="22"/>
        </w:rPr>
      </w:pPr>
      <w:r>
        <w:rPr>
          <w:rFonts w:hint="eastAsia" w:ascii="宋体" w:hAnsi="宋体" w:cs="宋体"/>
          <w:sz w:val="24"/>
          <w:szCs w:val="24"/>
        </w:rPr>
        <w:t>供应商必须是具有独立承担民事责任能力的在中华人民共和国境内注册的法人或其他组织或自然人；</w:t>
      </w:r>
    </w:p>
    <w:p>
      <w:pPr>
        <w:numPr>
          <w:ilvl w:val="1"/>
          <w:numId w:val="4"/>
        </w:numPr>
        <w:adjustRightInd w:val="0"/>
        <w:snapToGrid w:val="0"/>
        <w:spacing w:line="360" w:lineRule="auto"/>
        <w:ind w:firstLine="480"/>
        <w:rPr>
          <w:rFonts w:ascii="宋体" w:hAnsi="宋体" w:cs="宋体"/>
          <w:bCs/>
          <w:sz w:val="24"/>
          <w:szCs w:val="24"/>
        </w:rPr>
      </w:pPr>
      <w:r>
        <w:rPr>
          <w:rFonts w:hint="eastAsia" w:ascii="宋体" w:hAnsi="宋体" w:cs="宋体"/>
          <w:bCs/>
          <w:kern w:val="0"/>
          <w:sz w:val="24"/>
          <w:szCs w:val="24"/>
        </w:rPr>
        <w:t>供应商</w:t>
      </w:r>
      <w:r>
        <w:rPr>
          <w:rFonts w:hint="eastAsia" w:ascii="宋体" w:hAnsi="宋体" w:cs="宋体"/>
          <w:bCs/>
          <w:sz w:val="24"/>
          <w:szCs w:val="24"/>
        </w:rPr>
        <w:t>具有卫生部门核发且在有效期内的《医疗机构执业许可证》；</w:t>
      </w:r>
    </w:p>
    <w:p>
      <w:pPr>
        <w:numPr>
          <w:ilvl w:val="1"/>
          <w:numId w:val="4"/>
        </w:numPr>
        <w:adjustRightInd w:val="0"/>
        <w:snapToGrid w:val="0"/>
        <w:spacing w:line="360" w:lineRule="auto"/>
        <w:ind w:firstLine="480"/>
        <w:rPr>
          <w:rFonts w:ascii="宋体" w:hAnsi="宋体" w:cs="宋体"/>
          <w:bCs/>
          <w:kern w:val="0"/>
          <w:sz w:val="24"/>
          <w:szCs w:val="24"/>
        </w:rPr>
      </w:pPr>
      <w:r>
        <w:rPr>
          <w:rFonts w:hint="eastAsia" w:ascii="宋体" w:hAnsi="宋体" w:cs="宋体"/>
          <w:sz w:val="24"/>
          <w:szCs w:val="24"/>
        </w:rPr>
        <w:t>参加政府采购活动前3年内在经营活动中没有重大违法记录的书面声明</w:t>
      </w:r>
      <w:r>
        <w:rPr>
          <w:rFonts w:hint="eastAsia" w:ascii="宋体" w:hAnsi="宋体" w:cs="宋体"/>
          <w:bCs/>
          <w:kern w:val="0"/>
          <w:sz w:val="24"/>
          <w:szCs w:val="24"/>
        </w:rPr>
        <w:t>；</w:t>
      </w:r>
    </w:p>
    <w:p>
      <w:pPr>
        <w:numPr>
          <w:ilvl w:val="1"/>
          <w:numId w:val="4"/>
        </w:numPr>
        <w:adjustRightInd w:val="0"/>
        <w:snapToGrid w:val="0"/>
        <w:spacing w:line="360" w:lineRule="auto"/>
        <w:ind w:firstLine="480"/>
        <w:rPr>
          <w:rFonts w:ascii="宋体" w:hAnsi="宋体" w:cs="宋体"/>
          <w:bCs/>
          <w:sz w:val="24"/>
          <w:szCs w:val="24"/>
        </w:rPr>
      </w:pPr>
      <w:r>
        <w:rPr>
          <w:rFonts w:hint="eastAsia" w:ascii="宋体" w:hAnsi="宋体" w:cs="宋体"/>
          <w:color w:val="000000"/>
          <w:sz w:val="24"/>
          <w:szCs w:val="24"/>
        </w:rPr>
        <w:t>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r>
        <w:rPr>
          <w:rFonts w:hint="eastAsia" w:ascii="宋体" w:hAnsi="宋体" w:cs="宋体"/>
          <w:color w:val="000000"/>
          <w:sz w:val="24"/>
          <w:szCs w:val="22"/>
        </w:rPr>
        <w:t>说明：①、</w:t>
      </w:r>
      <w:r>
        <w:rPr>
          <w:rFonts w:hint="eastAsia" w:ascii="宋体" w:hAnsi="宋体" w:cs="宋体"/>
          <w:color w:val="000000"/>
          <w:sz w:val="24"/>
          <w:szCs w:val="24"/>
        </w:rPr>
        <w:t>由负责资格性审查人员于投标截止日在“信用中国”网站（www.creditchina.gov.cn）及中国政府采购网(www.ccgp.gov.cn)查询结果为准。②、</w:t>
      </w:r>
      <w:r>
        <w:rPr>
          <w:rFonts w:hint="eastAsia" w:ascii="宋体" w:hAnsi="宋体" w:cs="宋体"/>
          <w:color w:val="000000"/>
          <w:sz w:val="24"/>
          <w:szCs w:val="22"/>
        </w:rPr>
        <w:t>在上述网站查询结果显示“很抱歉，没有找到您搜索的企业”或“共0条记录”，视为没有上述不良</w:t>
      </w:r>
      <w:r>
        <w:rPr>
          <w:rFonts w:hint="eastAsia" w:ascii="宋体" w:hAnsi="宋体" w:cs="宋体"/>
          <w:color w:val="000000"/>
          <w:sz w:val="24"/>
          <w:szCs w:val="24"/>
        </w:rPr>
        <w:t>信用信息</w:t>
      </w:r>
      <w:r>
        <w:rPr>
          <w:rFonts w:hint="eastAsia" w:ascii="宋体" w:hAnsi="宋体" w:cs="宋体"/>
          <w:color w:val="000000"/>
          <w:sz w:val="24"/>
          <w:szCs w:val="22"/>
        </w:rPr>
        <w:t>记录 。③、采购代理机构同时对信用信息查询记录和证据截图或下载存档</w:t>
      </w:r>
      <w:r>
        <w:rPr>
          <w:rFonts w:hint="eastAsia" w:ascii="宋体" w:hAnsi="宋体" w:cs="宋体"/>
          <w:sz w:val="24"/>
          <w:szCs w:val="22"/>
        </w:rPr>
        <w:t>。</w:t>
      </w:r>
      <w:r>
        <w:rPr>
          <w:rFonts w:hint="eastAsia" w:ascii="宋体" w:hAnsi="宋体" w:cs="宋体"/>
          <w:bCs/>
          <w:sz w:val="24"/>
          <w:szCs w:val="24"/>
        </w:rPr>
        <w:t>）；</w:t>
      </w:r>
    </w:p>
    <w:p>
      <w:pPr>
        <w:numPr>
          <w:ilvl w:val="1"/>
          <w:numId w:val="4"/>
        </w:numPr>
        <w:adjustRightInd w:val="0"/>
        <w:snapToGrid w:val="0"/>
        <w:spacing w:line="360" w:lineRule="auto"/>
        <w:ind w:firstLine="480"/>
        <w:rPr>
          <w:rFonts w:ascii="宋体" w:hAnsi="宋体" w:cs="宋体"/>
          <w:b/>
          <w:sz w:val="24"/>
          <w:szCs w:val="22"/>
        </w:rPr>
      </w:pPr>
      <w:r>
        <w:rPr>
          <w:rFonts w:hint="eastAsia" w:ascii="宋体" w:hAnsi="宋体" w:cs="宋体"/>
          <w:bCs/>
          <w:sz w:val="24"/>
          <w:szCs w:val="24"/>
        </w:rPr>
        <w:t>已办理报名并成功购买本招标文件的供应商；</w:t>
      </w:r>
    </w:p>
    <w:p>
      <w:pPr>
        <w:numPr>
          <w:ilvl w:val="1"/>
          <w:numId w:val="4"/>
        </w:numPr>
        <w:adjustRightInd w:val="0"/>
        <w:snapToGrid w:val="0"/>
        <w:spacing w:line="360" w:lineRule="auto"/>
        <w:ind w:firstLine="480"/>
        <w:rPr>
          <w:rFonts w:ascii="宋体" w:hAnsi="宋体" w:cs="宋体"/>
          <w:bCs/>
          <w:sz w:val="24"/>
          <w:szCs w:val="24"/>
        </w:rPr>
      </w:pPr>
      <w:r>
        <w:rPr>
          <w:rFonts w:hint="eastAsia" w:ascii="宋体" w:hAnsi="宋体" w:cs="宋体"/>
          <w:bCs/>
          <w:sz w:val="24"/>
          <w:szCs w:val="24"/>
        </w:rPr>
        <w:t>本项目各包组均不接受联合体投标。</w:t>
      </w:r>
    </w:p>
    <w:p>
      <w:pPr>
        <w:widowControl/>
        <w:spacing w:line="360" w:lineRule="auto"/>
        <w:ind w:firstLine="480"/>
        <w:rPr>
          <w:rFonts w:ascii="宋体" w:hAnsi="宋体" w:cs="宋体"/>
          <w:color w:val="000000"/>
          <w:sz w:val="24"/>
        </w:rPr>
      </w:pPr>
    </w:p>
    <w:p>
      <w:pPr>
        <w:pStyle w:val="2"/>
        <w:widowControl/>
        <w:numPr>
          <w:ilvl w:val="0"/>
          <w:numId w:val="5"/>
        </w:numPr>
        <w:ind w:left="992" w:firstLine="643"/>
        <w:jc w:val="both"/>
        <w:rPr>
          <w:rFonts w:ascii="宋体" w:hAnsi="宋体" w:eastAsia="宋体" w:cs="宋体"/>
          <w:color w:val="000000"/>
        </w:rPr>
      </w:pPr>
      <w:r>
        <w:rPr>
          <w:rFonts w:hint="eastAsia" w:ascii="宋体" w:hAnsi="宋体" w:eastAsia="宋体" w:cs="宋体"/>
          <w:color w:val="000000"/>
        </w:rPr>
        <w:t>服务要求</w:t>
      </w:r>
    </w:p>
    <w:p>
      <w:pPr>
        <w:spacing w:line="360" w:lineRule="auto"/>
        <w:ind w:firstLine="482"/>
        <w:rPr>
          <w:rFonts w:ascii="宋体" w:hAnsi="宋体" w:cs="宋体"/>
          <w:b/>
          <w:bCs/>
          <w:sz w:val="24"/>
          <w:szCs w:val="22"/>
        </w:rPr>
      </w:pPr>
      <w:r>
        <w:rPr>
          <w:rFonts w:hint="eastAsia" w:ascii="宋体" w:hAnsi="宋体" w:cs="宋体"/>
          <w:b/>
          <w:bCs/>
          <w:sz w:val="24"/>
          <w:szCs w:val="22"/>
        </w:rPr>
        <w:t>（一）、委托检验服务需求</w:t>
      </w:r>
    </w:p>
    <w:p>
      <w:pPr>
        <w:spacing w:line="360" w:lineRule="auto"/>
        <w:ind w:firstLine="480" w:firstLineChars="200"/>
        <w:rPr>
          <w:rFonts w:ascii="宋体" w:hAnsi="宋体" w:cs="宋体"/>
          <w:color w:val="auto"/>
          <w:sz w:val="24"/>
          <w:szCs w:val="22"/>
          <w:highlight w:val="none"/>
        </w:rPr>
      </w:pPr>
      <w:r>
        <w:rPr>
          <w:rFonts w:hint="eastAsia" w:ascii="宋体" w:hAnsi="宋体" w:cs="宋体"/>
          <w:sz w:val="24"/>
          <w:szCs w:val="22"/>
        </w:rPr>
        <w:t>1</w:t>
      </w:r>
      <w:r>
        <w:rPr>
          <w:rFonts w:hint="eastAsia" w:ascii="宋体" w:hAnsi="宋体" w:cs="宋体"/>
          <w:color w:val="auto"/>
          <w:sz w:val="24"/>
          <w:szCs w:val="22"/>
          <w:highlight w:val="none"/>
        </w:rPr>
        <w:t>、投标人必须全部响应包含但不限于以下86个检测项目，并列明是否能响应报告时限。</w:t>
      </w:r>
    </w:p>
    <w:p>
      <w:pPr>
        <w:rPr>
          <w:rFonts w:ascii="宋体" w:hAnsi="宋体" w:cs="宋体"/>
          <w:color w:val="auto"/>
          <w:sz w:val="24"/>
          <w:szCs w:val="22"/>
          <w:highlight w:val="none"/>
        </w:rPr>
      </w:pPr>
      <w:r>
        <w:rPr>
          <w:rFonts w:hint="eastAsia" w:ascii="宋体" w:hAnsi="宋体" w:cs="宋体"/>
          <w:color w:val="auto"/>
          <w:sz w:val="24"/>
          <w:szCs w:val="22"/>
          <w:highlight w:val="none"/>
        </w:rPr>
        <w:t>委托检验项目服务清单（采购标的清单）如下：</w:t>
      </w:r>
    </w:p>
    <w:tbl>
      <w:tblPr>
        <w:tblStyle w:val="16"/>
        <w:tblW w:w="7280" w:type="dxa"/>
        <w:tblInd w:w="95" w:type="dxa"/>
        <w:tblLayout w:type="fixed"/>
        <w:tblCellMar>
          <w:top w:w="0" w:type="dxa"/>
          <w:left w:w="108" w:type="dxa"/>
          <w:bottom w:w="0" w:type="dxa"/>
          <w:right w:w="108" w:type="dxa"/>
        </w:tblCellMar>
      </w:tblPr>
      <w:tblGrid>
        <w:gridCol w:w="5140"/>
        <w:gridCol w:w="2140"/>
      </w:tblGrid>
      <w:tr>
        <w:tblPrEx>
          <w:tblLayout w:type="fixed"/>
          <w:tblCellMar>
            <w:top w:w="0" w:type="dxa"/>
            <w:left w:w="108" w:type="dxa"/>
            <w:bottom w:w="0" w:type="dxa"/>
            <w:right w:w="108" w:type="dxa"/>
          </w:tblCellMar>
        </w:tblPrEx>
        <w:trPr>
          <w:trHeight w:val="285" w:hRule="atLeast"/>
        </w:trPr>
        <w:tc>
          <w:tcPr>
            <w:tcW w:w="5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jc w:val="center"/>
              <w:rPr>
                <w:rFonts w:ascii="宋体" w:hAnsi="宋体" w:cs="Tahoma"/>
                <w:color w:val="auto"/>
                <w:kern w:val="0"/>
                <w:sz w:val="22"/>
                <w:szCs w:val="22"/>
                <w:highlight w:val="none"/>
              </w:rPr>
            </w:pPr>
            <w:r>
              <w:rPr>
                <w:rFonts w:hint="eastAsia" w:ascii="宋体" w:hAnsi="宋体" w:cs="Tahoma"/>
                <w:color w:val="auto"/>
                <w:kern w:val="0"/>
                <w:sz w:val="22"/>
                <w:szCs w:val="22"/>
                <w:highlight w:val="none"/>
              </w:rPr>
              <w:t>检验项目</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center"/>
              <w:rPr>
                <w:rFonts w:ascii="宋体" w:hAnsi="宋体" w:cs="Tahoma"/>
                <w:color w:val="auto"/>
                <w:kern w:val="0"/>
                <w:sz w:val="22"/>
                <w:szCs w:val="22"/>
                <w:highlight w:val="none"/>
              </w:rPr>
            </w:pPr>
            <w:r>
              <w:rPr>
                <w:rFonts w:hint="eastAsia" w:ascii="宋体" w:hAnsi="宋体" w:cs="Tahoma"/>
                <w:color w:val="auto"/>
                <w:kern w:val="0"/>
                <w:sz w:val="22"/>
                <w:szCs w:val="22"/>
                <w:highlight w:val="none"/>
              </w:rPr>
              <w:t>报告时限</w:t>
            </w:r>
          </w:p>
        </w:tc>
      </w:tr>
      <w:tr>
        <w:tblPrEx>
          <w:tblLayout w:type="fixed"/>
          <w:tblCellMar>
            <w:top w:w="0" w:type="dxa"/>
            <w:left w:w="108" w:type="dxa"/>
            <w:bottom w:w="0" w:type="dxa"/>
            <w:right w:w="108" w:type="dxa"/>
          </w:tblCellMar>
        </w:tblPrEx>
        <w:trPr>
          <w:trHeight w:val="285" w:hRule="atLeast"/>
        </w:trPr>
        <w:tc>
          <w:tcPr>
            <w:tcW w:w="5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17α羟孕酮测定(化学发光法)</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24h尿皮质醇</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24小时尿铜定量</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ABO新生儿溶血病实验检查</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CD19+B淋巴细胞检测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CD20+B淋巴细胞检测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NK细胞检测(CD3-CD(15+56+))</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Rh新生儿溶血病检查</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T淋巴细胞亚群(CD3/CD4/CD8)</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Y染色体微缺失**</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阿司匹林个体化用药基因检测外送</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包虫病抗体</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丙型肝炎RNA测定(定量)</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丙型肝炎病毒（HCV）基因分型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5个工作日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促肾上腺皮质激素(ACTH)</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单纯疱疹病毒Ⅱ核酸(PCR)</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蛋白C活性测定</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蛋白S活性测定</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恶性肿瘤特异生长因子(TSGF)测定</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肺吸虫抗体</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甘胆酸(CG)检测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肝吸虫IgG抗体</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高血压三项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高血压五项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骨质疏松三项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呼吸道98种病原体靶向测序(tNGS)-外送</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降钙素测定(化学发光)</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结核感染T细胞斑点实验</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抗β2糖蛋白1抗体三项(IgA、IgG、IgM)定量</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抗凝血酶Ⅲ测定</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抗心磷脂抗体三项(IgA、IgG、IgM)定量</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抗心磷脂总抗体定量</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抗中性粒细胞胞浆抗体二项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裂头蚴病抗体</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鳞状细胞癌相关抗原（SCC)</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硫酸脱氢表雄酮(DHEAS)（化学发光法）</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氯吡格雷个体化用药基因检测外送</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尿17-羟皮质类固醇</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尿17-酮类固醇</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尿儿茶酚胺组合(三项)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尿遗传代谢病检测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7个工作日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培养细胞的染色体分析(外周血培养)</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10个工作日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皮质醇</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人类白细胞抗原B27基因测定(HLA-B27)</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日本血吸虫IgG抗体</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肾素浓度测定</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糖类抗原242（化学发光)</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糖类抗原CA-50</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糖尿病自身抗体三项定量</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铜蓝蛋白</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外周免疫细胞全套（T细胞亚群、B细胞、NK细胞）</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胃泌素释放肽前体ProGRP（化学发光法）</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胃炎抗体二项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4个工作日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腺苷脱氨酶(ADA)</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4个工作日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雄烯二酮测定（化学发光法）</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血儿茶酚胺组合(三项)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血管炎二项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血浆甲氧基肾上腺素三项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血流变学检测(12项)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血清蛋白电泳</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4个工作日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血清前蛋白</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血清生长激素测定(化学发光法)</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血清铜</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血细胞簇分化抗原(CD)系列检测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血遗传代谢病检测(临床)</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7个工作日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血遗传代谢病检测(新生儿)</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7个工作日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药物浓度(氨茶碱)</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药物浓度(苯巴比妥)</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2-4个工作日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药物浓度(苯妥英钠)</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药物浓度(丙戊酸)</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药物浓度(丙戊酸)色谱法</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药物浓度(地高辛)</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药物浓度(伏立康唑)</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7个工作日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药物浓度(环孢霉素)</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药物浓度(卡马西平)</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药物浓度(他克莫司FK506)</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5个工作日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药物浓度(万古霉素)</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叶酸利用能力基因检测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胰岛素样生长因子Ⅰ（IGF-Ⅰ)</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乙型肝炎DNA测定(定量) 内标法</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幽门螺杆菌抗体分型</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2个工作日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脂蛋白磷脂酶A2（Lp—PLA2）</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肿瘤四项(老干,免疫法)</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猪囊尾蚴抗体</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转铁蛋白</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1个工作日</w:t>
            </w:r>
          </w:p>
        </w:tc>
      </w:tr>
      <w:tr>
        <w:tblPrEx>
          <w:tblLayout w:type="fixed"/>
          <w:tblCellMar>
            <w:top w:w="0" w:type="dxa"/>
            <w:left w:w="108" w:type="dxa"/>
            <w:bottom w:w="0" w:type="dxa"/>
            <w:right w:w="108" w:type="dxa"/>
          </w:tblCellMar>
        </w:tblPrEx>
        <w:trPr>
          <w:trHeight w:val="285" w:hRule="atLeast"/>
        </w:trPr>
        <w:tc>
          <w:tcPr>
            <w:tcW w:w="5140" w:type="dxa"/>
            <w:tcBorders>
              <w:top w:val="nil"/>
              <w:left w:val="single" w:color="auto" w:sz="4" w:space="0"/>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自身免疫肝病抗体七项</w:t>
            </w:r>
          </w:p>
        </w:tc>
        <w:tc>
          <w:tcPr>
            <w:tcW w:w="2140" w:type="dxa"/>
            <w:tcBorders>
              <w:top w:val="nil"/>
              <w:left w:val="nil"/>
              <w:bottom w:val="single" w:color="auto" w:sz="4" w:space="0"/>
              <w:right w:val="single" w:color="auto" w:sz="4" w:space="0"/>
            </w:tcBorders>
            <w:shd w:val="clear" w:color="auto" w:fill="auto"/>
            <w:vAlign w:val="center"/>
          </w:tcPr>
          <w:p>
            <w:pPr>
              <w:widowControl/>
              <w:ind w:firstLine="440"/>
              <w:jc w:val="left"/>
              <w:rPr>
                <w:rFonts w:ascii="宋体" w:hAnsi="宋体" w:cs="Tahoma"/>
                <w:color w:val="auto"/>
                <w:kern w:val="0"/>
                <w:sz w:val="22"/>
                <w:szCs w:val="22"/>
                <w:highlight w:val="none"/>
              </w:rPr>
            </w:pPr>
            <w:r>
              <w:rPr>
                <w:rFonts w:hint="eastAsia" w:ascii="宋体" w:hAnsi="宋体" w:cs="Tahoma"/>
                <w:color w:val="auto"/>
                <w:kern w:val="0"/>
                <w:sz w:val="22"/>
                <w:szCs w:val="22"/>
                <w:highlight w:val="none"/>
              </w:rPr>
              <w:t>3个工作日</w:t>
            </w:r>
          </w:p>
        </w:tc>
      </w:tr>
    </w:tbl>
    <w:p>
      <w:pPr>
        <w:ind w:firstLine="482"/>
        <w:jc w:val="center"/>
        <w:rPr>
          <w:rFonts w:ascii="宋体" w:hAnsi="宋体" w:cs="宋体"/>
          <w:b/>
          <w:bCs/>
          <w:color w:val="auto"/>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（二）、委托检验服务特殊要求：</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1.为满足合同期内临床检验业务的新增需求，采购人可根据临床需求在现有清单基础上增加项目数量。</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2.某些项目检测技术成熟及标本量达到可本地化开展后，采购人有权决定是否继续外送。</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3.相关收费标准物价部门作出调整的必须进行相应调整。</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4.确保提供的检测项目收费码符合医保价格目录标准。</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5.对以上要求因存在不确定性，投标人需充分考虑经营风险。</w:t>
      </w:r>
    </w:p>
    <w:p>
      <w:pPr>
        <w:ind w:firstLine="480"/>
        <w:rPr>
          <w:rFonts w:ascii="宋体" w:hAnsi="宋体" w:cs="宋体"/>
          <w:color w:val="auto"/>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（三）、投标人技术要求：</w:t>
      </w: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1.实验室要求：</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1.1投标人拥有自己的医学检测实验室，实验室有完善的质量管理体系，提供IS015189或CAP或ISO9001认证证书作为辅证（提供证明文件复印件）。</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1.2投标人实验室必须具有临床检验中心颁发的临床基因扩增检验实验室技术审核验收合格证书（提供证明文件复印件）。</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1.3有参加省级或以上临床检验中心组织的室间质评（提供室间质评证明文件复印件）。</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1.4投标人实验室须拥有完善的技术平台，包括定性PCR、定量PCR、核型分析、荧光原位杂交、一代测序、二代测序等相关技术平台；</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1.5投标人实验室具备基因检测技术和高通量测序能力；</w:t>
      </w:r>
    </w:p>
    <w:p>
      <w:pPr>
        <w:ind w:firstLine="480"/>
        <w:rPr>
          <w:rFonts w:ascii="宋体" w:hAnsi="宋体" w:cs="宋体"/>
          <w:color w:val="auto"/>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2.技术队伍要求：</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2.1 投标人实验室检验人员配备应符合国家相关要求，包括但不限于检验师、病理医师，人员数量、职称、专业可满足检测需求。</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2.2投标人在采购人指定的标本交接地点设置驻点岗1个，驻点岗安排1名专职驻点技术员，负责项目采样规范化培训，标本交接、登记、前处理、意外情况处理，报告分发，与医院对接等工作；驻点岗服务时间为周一至周日，8:00-17:30，驻点技术员服从科室排班，与科室现有工作人员的工作融合调度。</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 xml:space="preserve">2.3有专人负责用户业务及质量、技术、培训等工作。 </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2.4常规设有客服人员负责采购方反馈信息的受理、传达、跟踪处理等工作，以满足售后服务。</w:t>
      </w:r>
    </w:p>
    <w:p>
      <w:pPr>
        <w:ind w:firstLine="480"/>
        <w:rPr>
          <w:rFonts w:ascii="宋体" w:hAnsi="宋体" w:cs="宋体"/>
          <w:color w:val="auto"/>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3.信息系统支持：</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3.1投标人有LIS系统可与采购人的LIS系统对接，对接费用全部由投标人负责，实现检验项目结果、报告传输，报告自动审核发布；实现危急值LIS系统对接等功能。方便检验项目的统一管理。投标人负责信息系统对接费用、后期维护、故障处理等，信息系统故障处理响应时间不超过2小时。</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3.2投标人完成检测后数据需与医院检验系统及HIS系统对接，医务人员在HIS系统可以随时调阅外送检验结果；检验报告抬头和格式应为投标人检验报告格式，投标人须保证病人的资料的准确性和检验结果的及时性，并提供系统使用的必要培训与技术支持（提供承诺函）。</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3.3在提供电子形式的检测结果的同时还需要负责完成与医院自助打印系统对接。</w:t>
      </w:r>
    </w:p>
    <w:p>
      <w:pPr>
        <w:ind w:firstLine="480"/>
        <w:rPr>
          <w:rFonts w:ascii="宋体" w:hAnsi="宋体" w:cs="宋体"/>
          <w:color w:val="auto"/>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4.标本管理与物流系统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4.1投标人具备完善的冷链物流运输系统，物流系统应符合《GB/T 42186-2022医学检验生物标本冷链物流运作规范》，物流系统通过公安部信息系统安全等级保护三级或以上证明，保证标本接收、送检运输过程的安全与规范，保证标本的检测前质量，确保运输过程的样品质量和环境安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4.2投标人提供每周六天的上门接收标本的服务，时间为8：30至17：30。遇特殊标本可机动收取。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4.3投标人具有规范标本接收、登记和包装流程，保证标本质量和安全，确保标本顺利交接，方便查核。</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4.4投标人标本接收人员要通过严格培训，负责标本质量的初检、标识的核对，标本的接收登记及包装储存。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4.5投标人必须确保及时接收、送检标本和及时检验。标本不符合检验要求时，应及时通知采购人重新取样。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4.6标本在送检过程中出现延迟、遗漏、丢失等情况，投标人应有完善的应急预案予以妥善解决，否则投标人应承担相应责任。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4.7部分特殊检查项目需要的采样器、知情同意书、专用的患者资料登记申请单等由投标人免费提供。</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4.8能够按用户要求妥善保存及销毁检验后样本。</w:t>
      </w:r>
    </w:p>
    <w:p>
      <w:pPr>
        <w:ind w:firstLine="480"/>
        <w:rPr>
          <w:rFonts w:ascii="宋体" w:hAnsi="宋体" w:cs="宋体"/>
          <w:color w:val="auto"/>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5.其他技术服务要求：</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5.1投标人按国家检验规范进行操作，并对标本的检验报告承担相应的责任；并保证检验结果的公正性，不受任何诱使或压力的干扰。</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5.2投标人按卫生部临检中心质量要求进行操作，按照规范流程进行标本保存、运输与检查诊断，并对标本的检验报告承担相应的责任。投标人有为采购人保密的义务，在未经采购人同意或授权下，不得向采购人以外的任何单位或个人泄露采购人委托检测的任何信息。</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5.3投标人按日或检测批次对采购人委托项目进行室内质控，按季度提供室内质量控制报表，其内容包括质控检测数据、控制标准、质控分析、失控报告，可以随时接受并妥善安排采购人查阅项目检测、质量控制等情况。投标人需向采购人提供委托检测需求中所涉及的检测目原始数据以便采购人作质控检查。</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5.4投标人实验室检测后的剩余标本（如有），由投标人依法处置，投标人按照国家法律法规及相关行业规定的保存期限保存剩余标本（如有），定期返样（如有）。检测样本、检测数据的所有权、使用权为采购人所有，未经许可不得挪作它用。</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5.5部分特殊检查项目需要的采样器、知情同意书、专用的患者资料登记申请单等由投标人提供。</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5.6提供电话查询服务，危急值专人电话跟进，确保患者检测信息与临床医生的畅通。</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5.7投标人应建立快速的客户服务反应机制，如有针对投标人或采购人的投诉或需处理的情况，投标人应派代表在半日内到达医院及时沟通处理；若主要针对采购人的投诉或需处理的情况，投标人有义务协助采购人及时沟通处理。</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5.8投标人按照检测项目常规报告时间提供检测结果，并能满足采购人急诊项目的优先检测。</w:t>
      </w: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6.培训需求</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6.1投标人协助采购人开展检验人员开展ISO15189知识等进修培训、协助医院开展继续教育、专题讲座等学术交流活动。</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22"/>
          <w:highlight w:val="none"/>
        </w:rPr>
        <w:t>6.2投标人定期组织国内知名专家团队来我院进行学术交流，形式包括但不仅限于理论授课、技术培训和疑难病例讨论等。</w:t>
      </w: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7.售后服务需求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人需提供免费服务电话、网络查询、微信查询等多种渠道供采购人相关临床部门进行业务咨询、报告查询、账单查询统计功能。制定完善制定和流程保障上门服务，并派驻具有医学检验背景的专业人员提供上门售后服务。</w:t>
      </w:r>
    </w:p>
    <w:p>
      <w:pPr>
        <w:ind w:firstLine="480"/>
        <w:rPr>
          <w:rFonts w:ascii="宋体" w:hAnsi="宋体" w:cs="宋体"/>
          <w:color w:val="auto"/>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8.质量要求：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实验室具有完善的质量管理体系，每次检测都有严格的室内质控，每年参加省级及以上的质量控制和室间质量评估工作，以控制诊断结果的质量，通过ISO15189医学实验室质量认可，定期参与质量评审。因投标实验室质量因素导致的医疗纠纷、事故等不良后果的，由此产生的赔偿责任由中标人承担。</w:t>
      </w:r>
    </w:p>
    <w:p>
      <w:pPr>
        <w:numPr>
          <w:ilvl w:val="0"/>
          <w:numId w:val="6"/>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标本合格率≥99% ；</w:t>
      </w:r>
    </w:p>
    <w:p>
      <w:pPr>
        <w:numPr>
          <w:ilvl w:val="0"/>
          <w:numId w:val="6"/>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报告正确率≥99%；</w:t>
      </w:r>
    </w:p>
    <w:p>
      <w:pPr>
        <w:numPr>
          <w:ilvl w:val="0"/>
          <w:numId w:val="6"/>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报告及时率≥98%；</w:t>
      </w:r>
    </w:p>
    <w:p>
      <w:pPr>
        <w:numPr>
          <w:ilvl w:val="0"/>
          <w:numId w:val="6"/>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不符合改进率≥95%；</w:t>
      </w:r>
    </w:p>
    <w:p>
      <w:pPr>
        <w:numPr>
          <w:ilvl w:val="0"/>
          <w:numId w:val="6"/>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满意度≥95%；</w:t>
      </w:r>
    </w:p>
    <w:p>
      <w:pPr>
        <w:numPr>
          <w:ilvl w:val="0"/>
          <w:numId w:val="6"/>
        </w:num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危急值报告率和及时率达到100%。</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 采购人每季度对中标人的服务质量进行季度考核并根据考核结果扣罚中标人的服务费，考核标准由采购人在签订合同时与中标人协商确定。</w:t>
      </w:r>
    </w:p>
    <w:p>
      <w:pPr>
        <w:spacing w:line="360" w:lineRule="auto"/>
        <w:ind w:firstLine="482"/>
        <w:rPr>
          <w:rFonts w:ascii="宋体" w:hAnsi="宋体" w:cs="宋体"/>
          <w:b/>
          <w:bCs/>
          <w:color w:val="auto"/>
          <w:sz w:val="24"/>
          <w:szCs w:val="22"/>
          <w:highlight w:val="none"/>
        </w:rPr>
      </w:pPr>
    </w:p>
    <w:p>
      <w:pPr>
        <w:spacing w:line="360" w:lineRule="auto"/>
        <w:ind w:firstLine="482"/>
        <w:rPr>
          <w:rFonts w:ascii="宋体" w:hAnsi="宋体" w:cs="宋体"/>
          <w:b/>
          <w:bCs/>
          <w:color w:val="auto"/>
          <w:sz w:val="24"/>
          <w:szCs w:val="22"/>
          <w:highlight w:val="none"/>
        </w:rPr>
      </w:pPr>
      <w:r>
        <w:rPr>
          <w:rFonts w:hint="eastAsia" w:ascii="宋体" w:hAnsi="宋体" w:cs="宋体"/>
          <w:b/>
          <w:bCs/>
          <w:color w:val="auto"/>
          <w:sz w:val="24"/>
          <w:szCs w:val="22"/>
          <w:highlight w:val="none"/>
        </w:rPr>
        <w:t>9.项目违约责任</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 导致医疗事故的误差，由中标人承担相应的法律责任，并赔偿采购人的损失,采购人有权单方终止合同。</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 中标人对采购人送检的合格样本结果负责，对于按照中标人要求取材的合格样本，若因中标人原因导致检测结果存在质量问题，由中标人承担相应责任。</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 投标人应保证其用到本项目的专利、技术是其合格持有，且享有处分权，若因实施本项目的专利技术产生的侵权纠纷，采购人有权向中标人追究责任，并向中标人索赔因此受到的全部损失，并有权单方终止本项目合同。</w:t>
      </w:r>
    </w:p>
    <w:p>
      <w:pPr>
        <w:ind w:firstLine="480"/>
        <w:rPr>
          <w:rFonts w:ascii="宋体" w:hAnsi="宋体" w:cs="宋体"/>
          <w:color w:val="auto"/>
          <w:highlight w:val="none"/>
        </w:rPr>
      </w:pPr>
    </w:p>
    <w:p>
      <w:pPr>
        <w:pStyle w:val="2"/>
        <w:widowControl/>
        <w:numPr>
          <w:ilvl w:val="0"/>
          <w:numId w:val="0"/>
        </w:numPr>
        <w:ind w:left="992" w:hanging="992"/>
        <w:jc w:val="both"/>
        <w:rPr>
          <w:rFonts w:ascii="宋体" w:hAnsi="宋体" w:eastAsia="宋体" w:cs="宋体"/>
          <w:color w:val="auto"/>
          <w:highlight w:val="none"/>
        </w:rPr>
      </w:pPr>
      <w:r>
        <w:rPr>
          <w:rFonts w:hint="eastAsia" w:ascii="宋体" w:hAnsi="宋体" w:eastAsia="宋体" w:cs="宋体"/>
          <w:color w:val="auto"/>
          <w:highlight w:val="none"/>
        </w:rPr>
        <w:t>四、商务要求</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1、本次项目服务期为2年。</w:t>
      </w:r>
    </w:p>
    <w:p>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2、报价与付款</w:t>
      </w:r>
    </w:p>
    <w:p>
      <w:pPr>
        <w:tabs>
          <w:tab w:val="left" w:pos="426"/>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投标人的投标折扣率报价不能为负数或零。投标报价包括但不限于：完成本次招标所有服务内容的费用，包括人工费、检验费、材料费、设备使用费、各种税务费、必须的辅助材料费及合同实施过程中不可预见费用等全部费用。</w:t>
      </w:r>
    </w:p>
    <w:p>
      <w:pPr>
        <w:pStyle w:val="28"/>
        <w:spacing w:line="360" w:lineRule="auto"/>
        <w:ind w:left="420" w:firstLine="0" w:firstLineChars="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★投标人必须对本包组的全部内容进行投标报价，不可有缺漏。</w:t>
      </w:r>
    </w:p>
    <w:p>
      <w:pPr>
        <w:widowControl/>
        <w:spacing w:line="360" w:lineRule="auto"/>
        <w:ind w:firstLine="480"/>
        <w:rPr>
          <w:rFonts w:ascii="宋体" w:hAnsi="宋体" w:cs="宋体"/>
          <w:color w:val="auto"/>
          <w:sz w:val="24"/>
          <w:szCs w:val="24"/>
          <w:highlight w:val="none"/>
        </w:rPr>
      </w:pPr>
      <w:r>
        <w:rPr>
          <w:rFonts w:hint="eastAsia" w:ascii="宋体" w:hAnsi="宋体" w:cs="宋体"/>
          <w:bCs/>
          <w:color w:val="auto"/>
          <w:sz w:val="24"/>
          <w:szCs w:val="24"/>
          <w:highlight w:val="none"/>
        </w:rPr>
        <w:t>付款方式：</w:t>
      </w:r>
      <w:r>
        <w:rPr>
          <w:rFonts w:hint="eastAsia" w:ascii="宋体" w:hAnsi="宋体" w:cs="宋体"/>
          <w:color w:val="auto"/>
          <w:sz w:val="24"/>
          <w:szCs w:val="24"/>
          <w:highlight w:val="none"/>
        </w:rPr>
        <w:t>双方约定每月结算壹次，中标人对标本进行检测后，每月凭检测的统计表开具相应的正式发票与采购人核对送检数量，采购人以当地核准公布的收费标准乘以折扣率后向中标人结算。（投标人实际结算价格=当地收费标准×折扣率×每月实际检测次数）。</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3.投标人折扣率有效区间为0～</w:t>
      </w:r>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%，超出折扣率视为无效报价。</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鹤山市人民医院医共体包括总院和6家分院，总院为鹤山市人民医院、6家分院为共和镇卫生院、沙坪镇卫生院、雅瑶卫生院、桃源卫生院、宅梧镇卫生院、鹤城卫生院。中标方须与上述各家单位各自签订服务合同，各单位按照合同约定自行结算费用。</w:t>
      </w:r>
    </w:p>
    <w:p>
      <w:pPr>
        <w:widowControl/>
        <w:spacing w:line="360" w:lineRule="auto"/>
        <w:rPr>
          <w:rFonts w:ascii="宋体" w:hAnsi="宋体" w:cs="宋体"/>
          <w:color w:val="auto"/>
          <w:sz w:val="24"/>
          <w:szCs w:val="24"/>
          <w:highlight w:val="none"/>
        </w:rPr>
      </w:pPr>
    </w:p>
    <w:p>
      <w:pPr>
        <w:widowControl/>
        <w:spacing w:line="360" w:lineRule="auto"/>
        <w:rPr>
          <w:rFonts w:ascii="宋体" w:hAnsi="宋体" w:cs="宋体"/>
          <w:color w:val="auto"/>
          <w:sz w:val="24"/>
          <w:szCs w:val="24"/>
          <w:highlight w:val="none"/>
        </w:rPr>
        <w:sectPr>
          <w:pgSz w:w="11906" w:h="16838"/>
          <w:pgMar w:top="1440" w:right="1080" w:bottom="1440" w:left="1080" w:header="851" w:footer="992" w:gutter="0"/>
          <w:cols w:space="425" w:num="1"/>
          <w:docGrid w:type="lines" w:linePitch="312" w:charSpace="0"/>
        </w:sectPr>
      </w:pPr>
    </w:p>
    <w:p>
      <w:pPr>
        <w:pStyle w:val="2"/>
        <w:widowControl/>
        <w:numPr>
          <w:ilvl w:val="0"/>
          <w:numId w:val="7"/>
        </w:numPr>
        <w:ind w:left="992" w:firstLine="643"/>
        <w:jc w:val="both"/>
        <w:rPr>
          <w:rFonts w:ascii="宋体" w:hAnsi="宋体" w:eastAsia="宋体" w:cs="宋体"/>
          <w:color w:val="auto"/>
          <w:highlight w:val="none"/>
        </w:rPr>
      </w:pPr>
      <w:r>
        <w:rPr>
          <w:rFonts w:hint="eastAsia" w:ascii="宋体" w:hAnsi="宋体" w:eastAsia="宋体" w:cs="宋体"/>
          <w:color w:val="auto"/>
          <w:highlight w:val="none"/>
        </w:rPr>
        <w:t>评分标准表</w:t>
      </w:r>
    </w:p>
    <w:tbl>
      <w:tblPr>
        <w:tblStyle w:val="17"/>
        <w:tblW w:w="7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2931"/>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16"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序号</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评审项</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16"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1</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技术部分</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16"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2</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商务部分</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616"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3</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价格部分</w:t>
            </w:r>
          </w:p>
        </w:tc>
        <w:tc>
          <w:tcPr>
            <w:tcW w:w="2931" w:type="dxa"/>
            <w:vAlign w:val="center"/>
          </w:tcPr>
          <w:p>
            <w:pPr>
              <w:ind w:firstLine="482"/>
              <w:jc w:val="center"/>
              <w:rPr>
                <w:rFonts w:ascii="宋体" w:hAnsi="宋体" w:cs="宋体"/>
                <w:b/>
                <w:bCs/>
                <w:color w:val="auto"/>
                <w:highlight w:val="none"/>
              </w:rPr>
            </w:pPr>
            <w:r>
              <w:rPr>
                <w:rFonts w:hint="eastAsia" w:ascii="宋体" w:hAnsi="宋体" w:cs="宋体"/>
                <w:b/>
                <w:bCs/>
                <w:color w:val="auto"/>
                <w:highlight w:val="none"/>
              </w:rPr>
              <w:t>10分</w:t>
            </w:r>
          </w:p>
        </w:tc>
      </w:tr>
    </w:tbl>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注：各评委按规定的范围内进行量化打分，并统计总分。</w:t>
      </w:r>
    </w:p>
    <w:tbl>
      <w:tblPr>
        <w:tblStyle w:val="16"/>
        <w:tblW w:w="1042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1"/>
        <w:gridCol w:w="1552"/>
        <w:gridCol w:w="7134"/>
        <w:gridCol w:w="9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4" w:hRule="atLeast"/>
          <w:tblHeader/>
          <w:jc w:val="center"/>
        </w:trPr>
        <w:tc>
          <w:tcPr>
            <w:tcW w:w="771" w:type="dxa"/>
            <w:vAlign w:val="center"/>
          </w:tcPr>
          <w:p>
            <w:pPr>
              <w:spacing w:line="360" w:lineRule="auto"/>
              <w:ind w:left="-78" w:leftChars="-37" w:right="-73" w:rightChars="-35" w:firstLine="48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552" w:type="dxa"/>
            <w:vAlign w:val="center"/>
          </w:tcPr>
          <w:p>
            <w:pPr>
              <w:spacing w:line="360" w:lineRule="auto"/>
              <w:ind w:left="-78" w:leftChars="-37" w:right="-73" w:rightChars="-35" w:firstLine="482"/>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7134" w:type="dxa"/>
            <w:vAlign w:val="center"/>
          </w:tcPr>
          <w:p>
            <w:pPr>
              <w:spacing w:line="360" w:lineRule="auto"/>
              <w:ind w:left="-78" w:leftChars="-37" w:right="-73" w:rightChars="-35" w:firstLine="482"/>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967" w:type="dxa"/>
            <w:tcBorders>
              <w:left w:val="single" w:color="auto" w:sz="4" w:space="0"/>
            </w:tcBorders>
            <w:vAlign w:val="center"/>
          </w:tcPr>
          <w:p>
            <w:pPr>
              <w:spacing w:line="360" w:lineRule="auto"/>
              <w:ind w:left="-78" w:leftChars="-37" w:right="-73" w:rightChars="-35" w:firstLine="482"/>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4" w:hRule="atLeast"/>
          <w:jc w:val="center"/>
        </w:trPr>
        <w:tc>
          <w:tcPr>
            <w:tcW w:w="10424" w:type="dxa"/>
            <w:gridSpan w:val="4"/>
            <w:vAlign w:val="center"/>
          </w:tcPr>
          <w:p>
            <w:pPr>
              <w:spacing w:line="360" w:lineRule="auto"/>
              <w:ind w:left="-78" w:leftChars="-37" w:right="-73" w:rightChars="-35" w:firstLine="482"/>
              <w:jc w:val="center"/>
              <w:rPr>
                <w:rFonts w:ascii="宋体" w:hAnsi="宋体" w:cs="宋体"/>
                <w:b/>
                <w:color w:val="auto"/>
                <w:szCs w:val="21"/>
                <w:highlight w:val="none"/>
              </w:rPr>
            </w:pPr>
            <w:r>
              <w:rPr>
                <w:rFonts w:hint="eastAsia" w:ascii="宋体" w:hAnsi="宋体" w:cs="宋体"/>
                <w:b/>
                <w:color w:val="auto"/>
                <w:szCs w:val="21"/>
                <w:highlight w:val="none"/>
              </w:rPr>
              <w:t>技术部分（满分50分）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438" w:hRule="atLeast"/>
          <w:jc w:val="center"/>
        </w:trPr>
        <w:tc>
          <w:tcPr>
            <w:tcW w:w="771" w:type="dxa"/>
            <w:tcBorders>
              <w:bottom w:val="single" w:color="auto" w:sz="4" w:space="0"/>
            </w:tcBorders>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Align w:val="center"/>
          </w:tcPr>
          <w:p>
            <w:pPr>
              <w:spacing w:line="360" w:lineRule="auto"/>
              <w:ind w:firstLine="440"/>
              <w:jc w:val="center"/>
              <w:rPr>
                <w:rFonts w:ascii="宋体" w:hAnsi="宋体" w:cs="宋体"/>
                <w:color w:val="auto"/>
                <w:szCs w:val="21"/>
                <w:highlight w:val="none"/>
              </w:rPr>
            </w:pPr>
            <w:r>
              <w:rPr>
                <w:rFonts w:hint="eastAsia" w:ascii="宋体" w:hAnsi="宋体" w:cs="宋体"/>
                <w:color w:val="auto"/>
                <w:sz w:val="22"/>
                <w:szCs w:val="24"/>
                <w:highlight w:val="none"/>
              </w:rPr>
              <w:t>专业技术服务团队</w:t>
            </w:r>
          </w:p>
        </w:tc>
        <w:tc>
          <w:tcPr>
            <w:tcW w:w="7134" w:type="dxa"/>
            <w:vAlign w:val="center"/>
          </w:tcPr>
          <w:p>
            <w:pPr>
              <w:widowControl/>
              <w:autoSpaceDE w:val="0"/>
              <w:autoSpaceDN w:val="0"/>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投标人实验室检验人员配备应符合国家相关要求，包括但不限于检验师、病理医师，人员数量、职称、专业可满足检测需求。</w:t>
            </w:r>
          </w:p>
          <w:p>
            <w:pPr>
              <w:widowControl/>
              <w:numPr>
                <w:ilvl w:val="0"/>
                <w:numId w:val="9"/>
              </w:numPr>
              <w:autoSpaceDE w:val="0"/>
              <w:autoSpaceDN w:val="0"/>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项目负责人具备检验或病理相关高级职称得2分；</w:t>
            </w:r>
          </w:p>
          <w:p>
            <w:pPr>
              <w:widowControl/>
              <w:numPr>
                <w:ilvl w:val="0"/>
                <w:numId w:val="9"/>
              </w:numPr>
              <w:autoSpaceDE w:val="0"/>
              <w:autoSpaceDN w:val="0"/>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具备检验技师资格证技术人员不少于10人，每提供一名中级职称人员加0.5分，提供1名高级检验技师职称加1分，此项最高得6分；</w:t>
            </w:r>
          </w:p>
          <w:p>
            <w:pPr>
              <w:widowControl/>
              <w:autoSpaceDE w:val="0"/>
              <w:autoSpaceDN w:val="0"/>
              <w:adjustRightInd w:val="0"/>
              <w:snapToGrid w:val="0"/>
              <w:spacing w:line="360" w:lineRule="auto"/>
              <w:ind w:firstLine="480"/>
              <w:jc w:val="left"/>
              <w:rPr>
                <w:rFonts w:ascii="宋体" w:hAnsi="宋体" w:cs="宋体"/>
                <w:strike/>
                <w:color w:val="auto"/>
                <w:kern w:val="0"/>
                <w:szCs w:val="21"/>
                <w:highlight w:val="none"/>
              </w:rPr>
            </w:pPr>
            <w:r>
              <w:rPr>
                <w:rFonts w:hint="eastAsia" w:ascii="宋体" w:hAnsi="宋体" w:cs="宋体"/>
                <w:color w:val="auto"/>
                <w:highlight w:val="none"/>
              </w:rPr>
              <w:t>（提供人员一览表、人员资格证复印件、投标截止日前六个月内任意一个月在投标人单位缴纳社保的证明，同一人获得多个职称的只按最高级别职称资格证评审得分）。</w:t>
            </w:r>
          </w:p>
        </w:tc>
        <w:tc>
          <w:tcPr>
            <w:tcW w:w="967" w:type="dxa"/>
            <w:tcBorders>
              <w:left w:val="single" w:color="auto" w:sz="4" w:space="0"/>
            </w:tcBorders>
            <w:vAlign w:val="center"/>
          </w:tcPr>
          <w:p>
            <w:pPr>
              <w:spacing w:line="360" w:lineRule="auto"/>
              <w:ind w:firstLine="480"/>
              <w:jc w:val="center"/>
              <w:rPr>
                <w:rFonts w:ascii="宋体" w:hAnsi="宋体" w:cs="宋体"/>
                <w:color w:val="auto"/>
                <w:kern w:val="0"/>
                <w:szCs w:val="21"/>
                <w:highlight w:val="none"/>
              </w:rPr>
            </w:pPr>
            <w:r>
              <w:rPr>
                <w:rFonts w:hint="eastAsia" w:ascii="宋体" w:hAnsi="宋体" w:cs="宋体"/>
                <w:color w:val="auto"/>
                <w:szCs w:val="21"/>
                <w:highlight w:val="none"/>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29" w:hRule="atLeast"/>
          <w:jc w:val="center"/>
        </w:trPr>
        <w:tc>
          <w:tcPr>
            <w:tcW w:w="771" w:type="dxa"/>
            <w:vMerge w:val="restart"/>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Merge w:val="restart"/>
            <w:vAlign w:val="center"/>
          </w:tcPr>
          <w:p>
            <w:pPr>
              <w:spacing w:line="360" w:lineRule="auto"/>
              <w:ind w:firstLine="440"/>
              <w:jc w:val="center"/>
              <w:rPr>
                <w:rFonts w:ascii="宋体" w:hAnsi="宋体" w:cs="宋体"/>
                <w:color w:val="auto"/>
                <w:szCs w:val="21"/>
                <w:highlight w:val="none"/>
              </w:rPr>
            </w:pPr>
            <w:r>
              <w:rPr>
                <w:rFonts w:hint="eastAsia" w:ascii="宋体" w:hAnsi="宋体" w:cs="宋体"/>
                <w:color w:val="auto"/>
                <w:sz w:val="22"/>
                <w:szCs w:val="24"/>
                <w:highlight w:val="none"/>
              </w:rPr>
              <w:t xml:space="preserve">标本管理与物流服务方案 </w:t>
            </w:r>
          </w:p>
        </w:tc>
        <w:tc>
          <w:tcPr>
            <w:tcW w:w="7134" w:type="dxa"/>
            <w:vAlign w:val="center"/>
          </w:tcPr>
          <w:p>
            <w:pPr>
              <w:widowControl/>
              <w:numPr>
                <w:ilvl w:val="0"/>
                <w:numId w:val="10"/>
              </w:numPr>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投标人具备智慧化物流体系，物流系统具备GPS定位和温度监控功能，可实现全程实时监测得1分；标本箱具备自主知识产权得2分。（需提供相关证明文件复印件并加盖投标人公章，不提供的不得分。）</w:t>
            </w:r>
          </w:p>
        </w:tc>
        <w:tc>
          <w:tcPr>
            <w:tcW w:w="967" w:type="dxa"/>
            <w:tcBorders>
              <w:left w:val="single" w:color="auto" w:sz="4" w:space="0"/>
            </w:tcBorders>
            <w:vAlign w:val="center"/>
          </w:tcPr>
          <w:p>
            <w:pPr>
              <w:spacing w:line="360" w:lineRule="auto"/>
              <w:ind w:firstLine="480"/>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79" w:hRule="atLeast"/>
          <w:jc w:val="center"/>
        </w:trPr>
        <w:tc>
          <w:tcPr>
            <w:tcW w:w="771" w:type="dxa"/>
            <w:vMerge w:val="continue"/>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Merge w:val="continue"/>
            <w:vAlign w:val="center"/>
          </w:tcPr>
          <w:p>
            <w:pPr>
              <w:spacing w:line="360" w:lineRule="auto"/>
              <w:ind w:firstLine="480"/>
              <w:jc w:val="center"/>
              <w:rPr>
                <w:rFonts w:ascii="宋体" w:hAnsi="宋体" w:cs="宋体"/>
                <w:color w:val="auto"/>
                <w:kern w:val="0"/>
                <w:szCs w:val="21"/>
                <w:highlight w:val="none"/>
              </w:rPr>
            </w:pPr>
          </w:p>
        </w:tc>
        <w:tc>
          <w:tcPr>
            <w:tcW w:w="7134" w:type="dxa"/>
            <w:vAlign w:val="center"/>
          </w:tcPr>
          <w:p>
            <w:pPr>
              <w:spacing w:line="360" w:lineRule="auto"/>
              <w:ind w:firstLine="480"/>
              <w:rPr>
                <w:rFonts w:ascii="宋体" w:hAnsi="宋体" w:cs="宋体"/>
                <w:color w:val="auto"/>
                <w:kern w:val="0"/>
                <w:szCs w:val="21"/>
                <w:highlight w:val="none"/>
              </w:rPr>
            </w:pPr>
            <w:r>
              <w:rPr>
                <w:rFonts w:hint="eastAsia" w:ascii="宋体" w:hAnsi="宋体" w:cs="宋体"/>
                <w:color w:val="auto"/>
                <w:highlight w:val="none"/>
              </w:rPr>
              <w:t>2.</w:t>
            </w:r>
            <w:r>
              <w:rPr>
                <w:rFonts w:hint="eastAsia" w:ascii="宋体" w:hAnsi="宋体" w:cs="宋体"/>
                <w:color w:val="auto"/>
                <w:kern w:val="0"/>
                <w:szCs w:val="21"/>
                <w:highlight w:val="none"/>
              </w:rPr>
              <w:t>投标人物流系统通过公安部信息系统安全等级保护二级以上证明得5分，无不得分；（需提供</w:t>
            </w:r>
            <w:r>
              <w:rPr>
                <w:rFonts w:hint="eastAsia" w:ascii="宋体" w:hAnsi="宋体" w:cs="宋体"/>
                <w:color w:val="auto"/>
                <w:szCs w:val="21"/>
                <w:highlight w:val="none"/>
              </w:rPr>
              <w:t>相关证明文件</w:t>
            </w:r>
            <w:r>
              <w:rPr>
                <w:rFonts w:hint="eastAsia" w:ascii="宋体" w:hAnsi="宋体" w:cs="宋体"/>
                <w:color w:val="auto"/>
                <w:kern w:val="0"/>
                <w:szCs w:val="21"/>
                <w:highlight w:val="none"/>
              </w:rPr>
              <w:t>加盖投标人公章，不提供的不得分。）</w:t>
            </w:r>
          </w:p>
        </w:tc>
        <w:tc>
          <w:tcPr>
            <w:tcW w:w="967" w:type="dxa"/>
            <w:tcBorders>
              <w:left w:val="single" w:color="auto" w:sz="4" w:space="0"/>
            </w:tcBorders>
            <w:vAlign w:val="center"/>
          </w:tcPr>
          <w:p>
            <w:pPr>
              <w:spacing w:line="360" w:lineRule="auto"/>
              <w:ind w:firstLine="480"/>
              <w:jc w:val="center"/>
              <w:rPr>
                <w:rFonts w:ascii="宋体" w:hAnsi="宋体" w:cs="宋体"/>
                <w:color w:val="auto"/>
                <w:szCs w:val="21"/>
                <w:highlight w:val="none"/>
              </w:rPr>
            </w:pPr>
            <w:r>
              <w:rPr>
                <w:rFonts w:hint="eastAsia" w:ascii="宋体" w:hAnsi="宋体" w:cs="宋体"/>
                <w:color w:val="auto"/>
                <w:szCs w:val="21"/>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19" w:hRule="atLeast"/>
          <w:jc w:val="center"/>
        </w:trPr>
        <w:tc>
          <w:tcPr>
            <w:tcW w:w="771" w:type="dxa"/>
            <w:vMerge w:val="continue"/>
            <w:tcBorders>
              <w:bottom w:val="single" w:color="auto" w:sz="4" w:space="0"/>
            </w:tcBorders>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Merge w:val="continue"/>
            <w:vAlign w:val="center"/>
          </w:tcPr>
          <w:p>
            <w:pPr>
              <w:spacing w:line="360" w:lineRule="auto"/>
              <w:ind w:firstLine="480"/>
              <w:jc w:val="center"/>
              <w:rPr>
                <w:rFonts w:ascii="宋体" w:hAnsi="宋体" w:cs="宋体"/>
                <w:color w:val="auto"/>
                <w:kern w:val="0"/>
                <w:szCs w:val="21"/>
                <w:highlight w:val="none"/>
              </w:rPr>
            </w:pPr>
          </w:p>
        </w:tc>
        <w:tc>
          <w:tcPr>
            <w:tcW w:w="7134" w:type="dxa"/>
            <w:vAlign w:val="center"/>
          </w:tcPr>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3.投标人需提供专人专车收取标本服务，并提供详细的服务方案：</w:t>
            </w:r>
          </w:p>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1）优：方案完整、符合要求得6分；</w:t>
            </w:r>
          </w:p>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2）良：方案较完整，基本符合要求得3分；</w:t>
            </w:r>
          </w:p>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3）中：方案不全，不满足要求，得1分；</w:t>
            </w:r>
          </w:p>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4）差：不提供不得分。</w:t>
            </w:r>
          </w:p>
        </w:tc>
        <w:tc>
          <w:tcPr>
            <w:tcW w:w="967" w:type="dxa"/>
            <w:tcBorders>
              <w:left w:val="single" w:color="auto" w:sz="4" w:space="0"/>
            </w:tcBorders>
            <w:vAlign w:val="center"/>
          </w:tcPr>
          <w:p>
            <w:pPr>
              <w:spacing w:line="360" w:lineRule="auto"/>
              <w:ind w:firstLine="480"/>
              <w:jc w:val="center"/>
              <w:rPr>
                <w:rFonts w:ascii="宋体" w:hAnsi="宋体" w:cs="宋体"/>
                <w:color w:val="auto"/>
                <w:szCs w:val="21"/>
                <w:highlight w:val="none"/>
              </w:rPr>
            </w:pPr>
            <w:r>
              <w:rPr>
                <w:rFonts w:hint="eastAsia" w:ascii="宋体" w:hAnsi="宋体" w:cs="宋体"/>
                <w:color w:val="auto"/>
                <w:szCs w:val="21"/>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8" w:hRule="atLeast"/>
          <w:jc w:val="center"/>
        </w:trPr>
        <w:tc>
          <w:tcPr>
            <w:tcW w:w="771" w:type="dxa"/>
            <w:tcBorders>
              <w:bottom w:val="single" w:color="auto" w:sz="4" w:space="0"/>
            </w:tcBorders>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Align w:val="center"/>
          </w:tcPr>
          <w:p>
            <w:pPr>
              <w:spacing w:line="360" w:lineRule="auto"/>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实验室质控保障服务方案</w:t>
            </w:r>
          </w:p>
        </w:tc>
        <w:tc>
          <w:tcPr>
            <w:tcW w:w="7134" w:type="dxa"/>
            <w:vAlign w:val="center"/>
          </w:tcPr>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根据投标人所提供质控服务方案的整体质量、可行性进行打分：</w:t>
            </w:r>
          </w:p>
          <w:p>
            <w:pPr>
              <w:widowControl/>
              <w:numPr>
                <w:ilvl w:val="0"/>
                <w:numId w:val="11"/>
              </w:numPr>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优：服务方案的整体质量方案清晰、完善，可行性高，且高度符合项目需求的，得8分。</w:t>
            </w:r>
          </w:p>
          <w:p>
            <w:pPr>
              <w:widowControl/>
              <w:numPr>
                <w:ilvl w:val="0"/>
                <w:numId w:val="11"/>
              </w:numPr>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良：服务方案的整体质量方案完善，可行性高，符合项目需求，得4分。</w:t>
            </w:r>
          </w:p>
          <w:p>
            <w:pPr>
              <w:widowControl/>
              <w:numPr>
                <w:ilvl w:val="0"/>
                <w:numId w:val="11"/>
              </w:numPr>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中：服务方案的整体质量方案基本完整，具备一定可行性，基本符合项目需求，得1分。</w:t>
            </w:r>
          </w:p>
          <w:p>
            <w:pPr>
              <w:widowControl/>
              <w:numPr>
                <w:ilvl w:val="0"/>
                <w:numId w:val="11"/>
              </w:numPr>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差：服务方案的整体质量方案差，不符合项目需求，得0分。</w:t>
            </w:r>
          </w:p>
        </w:tc>
        <w:tc>
          <w:tcPr>
            <w:tcW w:w="967" w:type="dxa"/>
            <w:tcBorders>
              <w:left w:val="single" w:color="auto" w:sz="4" w:space="0"/>
            </w:tcBorders>
            <w:vAlign w:val="center"/>
          </w:tcPr>
          <w:p>
            <w:pPr>
              <w:spacing w:line="360" w:lineRule="auto"/>
              <w:ind w:firstLine="480"/>
              <w:jc w:val="center"/>
              <w:rPr>
                <w:rFonts w:ascii="宋体" w:hAnsi="宋体" w:cs="宋体"/>
                <w:color w:val="auto"/>
                <w:szCs w:val="21"/>
                <w:highlight w:val="none"/>
              </w:rPr>
            </w:pPr>
            <w:r>
              <w:rPr>
                <w:rFonts w:hint="eastAsia" w:ascii="宋体" w:hAnsi="宋体" w:cs="宋体"/>
                <w:color w:val="auto"/>
                <w:szCs w:val="21"/>
                <w:highlight w:val="none"/>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771" w:type="dxa"/>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Align w:val="center"/>
          </w:tcPr>
          <w:p>
            <w:pPr>
              <w:widowControl/>
              <w:adjustRightInd w:val="0"/>
              <w:snapToGrid w:val="0"/>
              <w:spacing w:line="360" w:lineRule="auto"/>
              <w:ind w:firstLine="480"/>
              <w:jc w:val="center"/>
              <w:rPr>
                <w:rFonts w:ascii="宋体" w:hAnsi="宋体" w:cs="宋体"/>
                <w:bCs/>
                <w:color w:val="auto"/>
                <w:kern w:val="0"/>
                <w:szCs w:val="21"/>
                <w:highlight w:val="none"/>
                <w:lang w:val="en-GB"/>
              </w:rPr>
            </w:pPr>
            <w:r>
              <w:rPr>
                <w:rFonts w:hint="eastAsia" w:ascii="宋体" w:hAnsi="宋体" w:cs="宋体"/>
                <w:color w:val="auto"/>
                <w:kern w:val="0"/>
                <w:szCs w:val="21"/>
                <w:highlight w:val="none"/>
              </w:rPr>
              <w:t>检验信息化服务能力方案</w:t>
            </w:r>
          </w:p>
        </w:tc>
        <w:tc>
          <w:tcPr>
            <w:tcW w:w="7134" w:type="dxa"/>
            <w:vAlign w:val="center"/>
          </w:tcPr>
          <w:p>
            <w:pPr>
              <w:widowControl/>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投标人具备信息化服务能力，能够</w:t>
            </w:r>
            <w:r>
              <w:rPr>
                <w:rFonts w:hint="eastAsia" w:ascii="宋体" w:hAnsi="宋体" w:cs="宋体"/>
                <w:color w:val="auto"/>
                <w:kern w:val="0"/>
                <w:szCs w:val="21"/>
                <w:highlight w:val="none"/>
              </w:rPr>
              <w:t>保证医疗信息安全，通过信息安全管理体系认证和隐私信息管理体系认证，根据投标人信息化服务能力证明材料进行综合评审</w:t>
            </w:r>
          </w:p>
          <w:p>
            <w:pPr>
              <w:widowControl/>
              <w:numPr>
                <w:ilvl w:val="0"/>
                <w:numId w:val="12"/>
              </w:numPr>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具备信息安全管理体系认证证书得4分；</w:t>
            </w:r>
          </w:p>
          <w:p>
            <w:pPr>
              <w:widowControl/>
              <w:numPr>
                <w:ilvl w:val="0"/>
                <w:numId w:val="12"/>
              </w:numPr>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具备隐私信息管理体系认证证书得4分。</w:t>
            </w:r>
          </w:p>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highlight w:val="none"/>
              </w:rPr>
              <w:t>注：提供相关证书复印件、全国认证认可信息公共服务平台查询截图并加盖公章，非投标人主体所有资质不得分，不提供不得分。</w:t>
            </w:r>
          </w:p>
        </w:tc>
        <w:tc>
          <w:tcPr>
            <w:tcW w:w="967" w:type="dxa"/>
            <w:tcBorders>
              <w:left w:val="single" w:color="auto" w:sz="4" w:space="0"/>
            </w:tcBorders>
            <w:vAlign w:val="center"/>
          </w:tcPr>
          <w:p>
            <w:pPr>
              <w:spacing w:line="360" w:lineRule="auto"/>
              <w:ind w:left="-78" w:leftChars="-37" w:right="-73" w:rightChars="-35" w:firstLine="480"/>
              <w:jc w:val="center"/>
              <w:rPr>
                <w:rFonts w:ascii="宋体" w:hAnsi="宋体" w:cs="宋体"/>
                <w:color w:val="auto"/>
                <w:szCs w:val="21"/>
                <w:highlight w:val="none"/>
              </w:rPr>
            </w:pPr>
            <w:r>
              <w:rPr>
                <w:rFonts w:hint="eastAsia" w:ascii="宋体" w:hAnsi="宋体" w:cs="宋体"/>
                <w:color w:val="auto"/>
                <w:szCs w:val="21"/>
                <w:highlight w:val="none"/>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0" w:hRule="atLeast"/>
          <w:jc w:val="center"/>
        </w:trPr>
        <w:tc>
          <w:tcPr>
            <w:tcW w:w="771" w:type="dxa"/>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Align w:val="center"/>
          </w:tcPr>
          <w:p>
            <w:pPr>
              <w:spacing w:line="360" w:lineRule="auto"/>
              <w:ind w:firstLine="480"/>
              <w:jc w:val="center"/>
              <w:rPr>
                <w:rFonts w:ascii="宋体" w:hAnsi="宋体" w:cs="宋体"/>
                <w:color w:val="auto"/>
                <w:kern w:val="0"/>
                <w:szCs w:val="21"/>
                <w:highlight w:val="none"/>
              </w:rPr>
            </w:pPr>
            <w:r>
              <w:rPr>
                <w:rFonts w:hint="eastAsia" w:ascii="宋体" w:hAnsi="宋体" w:cs="宋体"/>
                <w:color w:val="auto"/>
                <w:highlight w:val="none"/>
              </w:rPr>
              <w:t>培训服务能力</w:t>
            </w:r>
          </w:p>
        </w:tc>
        <w:tc>
          <w:tcPr>
            <w:tcW w:w="7134" w:type="dxa"/>
            <w:vAlign w:val="center"/>
          </w:tcPr>
          <w:p>
            <w:pPr>
              <w:numPr>
                <w:ilvl w:val="0"/>
                <w:numId w:val="13"/>
              </w:numPr>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lang w:bidi="hi-IN"/>
              </w:rPr>
              <w:t>投标人</w:t>
            </w:r>
            <w:r>
              <w:rPr>
                <w:rFonts w:hint="eastAsia"/>
                <w:color w:val="auto"/>
                <w:highlight w:val="none"/>
              </w:rPr>
              <w:t>定期组织开展相关的医学培训活动，提供项目的指导，包括项目检测建议、临床意义解释和结果分析等，具备培训管理体系认证证书得6分。</w:t>
            </w:r>
          </w:p>
        </w:tc>
        <w:tc>
          <w:tcPr>
            <w:tcW w:w="967" w:type="dxa"/>
            <w:tcBorders>
              <w:left w:val="single" w:color="auto" w:sz="4" w:space="0"/>
            </w:tcBorders>
            <w:vAlign w:val="center"/>
          </w:tcPr>
          <w:p>
            <w:pPr>
              <w:spacing w:line="360" w:lineRule="auto"/>
              <w:ind w:left="-78" w:leftChars="-37" w:right="-73" w:rightChars="-35" w:firstLine="480"/>
              <w:jc w:val="center"/>
              <w:rPr>
                <w:rFonts w:ascii="宋体" w:hAnsi="宋体" w:cs="宋体"/>
                <w:color w:val="auto"/>
                <w:szCs w:val="21"/>
                <w:highlight w:val="none"/>
              </w:rPr>
            </w:pPr>
            <w:r>
              <w:rPr>
                <w:rFonts w:hint="eastAsia" w:ascii="宋体" w:hAnsi="宋体" w:cs="宋体"/>
                <w:color w:val="auto"/>
                <w:szCs w:val="21"/>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4" w:hRule="atLeast"/>
          <w:jc w:val="center"/>
        </w:trPr>
        <w:tc>
          <w:tcPr>
            <w:tcW w:w="771" w:type="dxa"/>
            <w:vAlign w:val="center"/>
          </w:tcPr>
          <w:p>
            <w:pPr>
              <w:widowControl/>
              <w:numPr>
                <w:ilvl w:val="0"/>
                <w:numId w:val="8"/>
              </w:numPr>
              <w:adjustRightInd w:val="0"/>
              <w:snapToGrid w:val="0"/>
              <w:spacing w:line="360" w:lineRule="auto"/>
              <w:ind w:firstLine="480"/>
              <w:jc w:val="right"/>
              <w:rPr>
                <w:rFonts w:ascii="宋体" w:hAnsi="宋体" w:cs="宋体"/>
                <w:color w:val="auto"/>
                <w:szCs w:val="21"/>
                <w:highlight w:val="none"/>
              </w:rPr>
            </w:pPr>
          </w:p>
        </w:tc>
        <w:tc>
          <w:tcPr>
            <w:tcW w:w="1552" w:type="dxa"/>
            <w:vAlign w:val="center"/>
          </w:tcPr>
          <w:p>
            <w:pPr>
              <w:widowControl/>
              <w:adjustRightInd w:val="0"/>
              <w:snapToGrid w:val="0"/>
              <w:spacing w:line="360" w:lineRule="auto"/>
              <w:ind w:firstLine="480"/>
              <w:jc w:val="center"/>
              <w:rPr>
                <w:rFonts w:ascii="宋体" w:hAnsi="宋体" w:cs="宋体"/>
                <w:bCs/>
                <w:color w:val="auto"/>
                <w:kern w:val="0"/>
                <w:szCs w:val="21"/>
                <w:highlight w:val="none"/>
              </w:rPr>
            </w:pPr>
            <w:r>
              <w:rPr>
                <w:rFonts w:hint="eastAsia" w:ascii="宋体" w:hAnsi="宋体" w:cs="宋体"/>
                <w:bCs/>
                <w:color w:val="auto"/>
                <w:kern w:val="0"/>
                <w:szCs w:val="21"/>
                <w:highlight w:val="none"/>
                <w:lang w:val="en-GB"/>
              </w:rPr>
              <w:t>售后服务</w:t>
            </w:r>
            <w:r>
              <w:rPr>
                <w:rFonts w:hint="eastAsia" w:ascii="宋体" w:hAnsi="宋体" w:cs="宋体"/>
                <w:bCs/>
                <w:color w:val="auto"/>
                <w:kern w:val="0"/>
                <w:szCs w:val="21"/>
                <w:highlight w:val="none"/>
              </w:rPr>
              <w:t>能力</w:t>
            </w:r>
          </w:p>
        </w:tc>
        <w:tc>
          <w:tcPr>
            <w:tcW w:w="7134" w:type="dxa"/>
            <w:vAlign w:val="center"/>
          </w:tcPr>
          <w:p>
            <w:pPr>
              <w:widowControl/>
              <w:numPr>
                <w:ilvl w:val="0"/>
                <w:numId w:val="14"/>
              </w:numPr>
              <w:autoSpaceDE w:val="0"/>
              <w:autoSpaceDN w:val="0"/>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投标人需提供相关售后服务承诺，如报告查询、人员驻点等方面，提供承诺函得2分；</w:t>
            </w:r>
          </w:p>
          <w:p>
            <w:pPr>
              <w:widowControl/>
              <w:numPr>
                <w:ilvl w:val="0"/>
                <w:numId w:val="14"/>
              </w:numPr>
              <w:autoSpaceDE w:val="0"/>
              <w:autoSpaceDN w:val="0"/>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lang w:bidi="hi-IN"/>
              </w:rPr>
              <w:t>投标人具备售后服务能力，通过售后服务管理体系认证证书得4分。</w:t>
            </w:r>
          </w:p>
        </w:tc>
        <w:tc>
          <w:tcPr>
            <w:tcW w:w="967" w:type="dxa"/>
            <w:tcBorders>
              <w:left w:val="single" w:color="auto" w:sz="4" w:space="0"/>
            </w:tcBorders>
            <w:vAlign w:val="center"/>
          </w:tcPr>
          <w:p>
            <w:pPr>
              <w:spacing w:line="360" w:lineRule="auto"/>
              <w:ind w:left="-78" w:leftChars="-37" w:right="-73" w:rightChars="-35" w:firstLine="480"/>
              <w:jc w:val="center"/>
              <w:rPr>
                <w:rFonts w:ascii="宋体" w:hAnsi="宋体" w:cs="宋体"/>
                <w:color w:val="auto"/>
                <w:szCs w:val="21"/>
                <w:highlight w:val="none"/>
              </w:rPr>
            </w:pPr>
            <w:r>
              <w:rPr>
                <w:rFonts w:hint="eastAsia" w:ascii="宋体" w:hAnsi="宋体" w:cs="宋体"/>
                <w:color w:val="auto"/>
                <w:szCs w:val="21"/>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4" w:hRule="atLeast"/>
          <w:jc w:val="center"/>
        </w:trPr>
        <w:tc>
          <w:tcPr>
            <w:tcW w:w="10424" w:type="dxa"/>
            <w:gridSpan w:val="4"/>
            <w:tcBorders>
              <w:top w:val="single" w:color="auto" w:sz="4" w:space="0"/>
            </w:tcBorders>
            <w:vAlign w:val="center"/>
          </w:tcPr>
          <w:p>
            <w:pPr>
              <w:spacing w:line="360" w:lineRule="auto"/>
              <w:ind w:left="-78" w:leftChars="-37" w:right="-73" w:rightChars="-35" w:firstLine="482"/>
              <w:jc w:val="center"/>
              <w:rPr>
                <w:rFonts w:ascii="宋体" w:hAnsi="宋体" w:cs="宋体"/>
                <w:color w:val="auto"/>
                <w:szCs w:val="21"/>
                <w:highlight w:val="none"/>
              </w:rPr>
            </w:pPr>
            <w:r>
              <w:rPr>
                <w:rFonts w:hint="eastAsia" w:ascii="宋体" w:hAnsi="宋体" w:cs="宋体"/>
                <w:b/>
                <w:color w:val="auto"/>
                <w:szCs w:val="21"/>
                <w:highlight w:val="none"/>
              </w:rPr>
              <w:t>商务部分（满分40分）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atLeast"/>
          <w:jc w:val="center"/>
        </w:trPr>
        <w:tc>
          <w:tcPr>
            <w:tcW w:w="771" w:type="dxa"/>
            <w:vMerge w:val="restart"/>
            <w:vAlign w:val="center"/>
          </w:tcPr>
          <w:p>
            <w:pPr>
              <w:widowControl/>
              <w:numPr>
                <w:ilvl w:val="0"/>
                <w:numId w:val="15"/>
              </w:numPr>
              <w:adjustRightInd w:val="0"/>
              <w:snapToGrid w:val="0"/>
              <w:spacing w:line="360" w:lineRule="auto"/>
              <w:ind w:firstLine="480"/>
              <w:jc w:val="center"/>
              <w:rPr>
                <w:rFonts w:ascii="宋体" w:hAnsi="宋体" w:cs="宋体"/>
                <w:color w:val="auto"/>
                <w:szCs w:val="21"/>
                <w:highlight w:val="none"/>
              </w:rPr>
            </w:pPr>
          </w:p>
        </w:tc>
        <w:tc>
          <w:tcPr>
            <w:tcW w:w="1552" w:type="dxa"/>
            <w:vAlign w:val="center"/>
          </w:tcPr>
          <w:p>
            <w:pPr>
              <w:spacing w:line="360" w:lineRule="auto"/>
              <w:ind w:firstLine="440"/>
              <w:jc w:val="center"/>
              <w:rPr>
                <w:rFonts w:ascii="宋体" w:hAnsi="宋体" w:cs="宋体"/>
                <w:strike/>
                <w:color w:val="auto"/>
                <w:szCs w:val="21"/>
                <w:highlight w:val="none"/>
              </w:rPr>
            </w:pPr>
            <w:r>
              <w:rPr>
                <w:rFonts w:hint="eastAsia" w:ascii="宋体" w:hAnsi="宋体" w:cs="宋体"/>
                <w:color w:val="auto"/>
                <w:sz w:val="22"/>
                <w:szCs w:val="22"/>
                <w:highlight w:val="none"/>
              </w:rPr>
              <w:t>实验室技术与质量能力保障</w:t>
            </w:r>
          </w:p>
        </w:tc>
        <w:tc>
          <w:tcPr>
            <w:tcW w:w="7134" w:type="dxa"/>
            <w:vAlign w:val="center"/>
          </w:tcPr>
          <w:p>
            <w:pPr>
              <w:numPr>
                <w:ilvl w:val="0"/>
                <w:numId w:val="16"/>
              </w:numPr>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投标人通过ISO15189实验室认可，且检验能力范围涵盖检验和病理，同时通过A检验医学项目和C病理学项目得8分，仅通过A或C得4分。（注：提供ISO15189实验室认可证书、项目清单、检验能力范围官网截图等证明材料）。</w:t>
            </w:r>
          </w:p>
        </w:tc>
        <w:tc>
          <w:tcPr>
            <w:tcW w:w="967" w:type="dxa"/>
            <w:tcBorders>
              <w:left w:val="single" w:color="auto" w:sz="4" w:space="0"/>
            </w:tcBorders>
            <w:vAlign w:val="center"/>
          </w:tcPr>
          <w:p>
            <w:pPr>
              <w:spacing w:line="360" w:lineRule="auto"/>
              <w:ind w:left="-78" w:leftChars="-37" w:right="-73" w:rightChars="-35" w:firstLine="480"/>
              <w:jc w:val="center"/>
              <w:rPr>
                <w:rFonts w:ascii="宋体" w:hAnsi="宋体" w:cs="宋体"/>
                <w:color w:val="auto"/>
                <w:szCs w:val="21"/>
                <w:highlight w:val="none"/>
              </w:rPr>
            </w:pPr>
            <w:r>
              <w:rPr>
                <w:rFonts w:hint="eastAsia" w:ascii="宋体" w:hAnsi="宋体" w:cs="宋体"/>
                <w:color w:val="auto"/>
                <w:szCs w:val="21"/>
                <w:highlight w:val="none"/>
              </w:rPr>
              <w:t>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0" w:hRule="atLeast"/>
          <w:jc w:val="center"/>
        </w:trPr>
        <w:tc>
          <w:tcPr>
            <w:tcW w:w="771" w:type="dxa"/>
            <w:vMerge w:val="continue"/>
            <w:vAlign w:val="center"/>
          </w:tcPr>
          <w:p>
            <w:pPr>
              <w:widowControl/>
              <w:numPr>
                <w:ilvl w:val="0"/>
                <w:numId w:val="15"/>
              </w:numPr>
              <w:adjustRightInd w:val="0"/>
              <w:snapToGrid w:val="0"/>
              <w:spacing w:line="360" w:lineRule="auto"/>
              <w:ind w:firstLine="480"/>
              <w:jc w:val="center"/>
              <w:rPr>
                <w:rFonts w:ascii="宋体" w:hAnsi="宋体" w:cs="宋体"/>
                <w:color w:val="auto"/>
                <w:szCs w:val="21"/>
                <w:highlight w:val="none"/>
              </w:rPr>
            </w:pPr>
          </w:p>
        </w:tc>
        <w:tc>
          <w:tcPr>
            <w:tcW w:w="1552" w:type="dxa"/>
            <w:vAlign w:val="center"/>
          </w:tcPr>
          <w:p>
            <w:pPr>
              <w:spacing w:line="360" w:lineRule="auto"/>
              <w:ind w:firstLine="480"/>
              <w:rPr>
                <w:rFonts w:ascii="宋体" w:hAnsi="宋体" w:cs="宋体"/>
                <w:color w:val="auto"/>
                <w:highlight w:val="none"/>
              </w:rPr>
            </w:pPr>
            <w:r>
              <w:rPr>
                <w:rFonts w:hint="eastAsia" w:ascii="宋体" w:hAnsi="宋体" w:cs="宋体"/>
                <w:color w:val="auto"/>
                <w:highlight w:val="none"/>
              </w:rPr>
              <w:t>综合实力</w:t>
            </w:r>
          </w:p>
        </w:tc>
        <w:tc>
          <w:tcPr>
            <w:tcW w:w="7134" w:type="dxa"/>
            <w:vAlign w:val="center"/>
          </w:tcPr>
          <w:p>
            <w:pPr>
              <w:spacing w:line="360" w:lineRule="auto"/>
              <w:ind w:firstLine="480"/>
              <w:rPr>
                <w:rFonts w:ascii="宋体" w:hAnsi="宋体" w:cs="宋体"/>
                <w:color w:val="auto"/>
                <w:szCs w:val="21"/>
                <w:highlight w:val="none"/>
              </w:rPr>
            </w:pPr>
            <w:r>
              <w:rPr>
                <w:rFonts w:hint="eastAsia" w:ascii="宋体" w:hAnsi="宋体" w:cs="宋体"/>
                <w:color w:val="auto"/>
                <w:highlight w:val="none"/>
              </w:rPr>
              <w:t>1.投标人通过知识产权体系认证，得1分；</w:t>
            </w:r>
          </w:p>
          <w:p>
            <w:pPr>
              <w:spacing w:line="360" w:lineRule="auto"/>
              <w:ind w:firstLine="480"/>
              <w:rPr>
                <w:rFonts w:ascii="宋体" w:hAnsi="宋体" w:cs="宋体"/>
                <w:color w:val="auto"/>
                <w:highlight w:val="none"/>
              </w:rPr>
            </w:pPr>
            <w:r>
              <w:rPr>
                <w:rFonts w:hint="eastAsia" w:ascii="宋体" w:hAnsi="宋体" w:cs="宋体"/>
                <w:color w:val="auto"/>
                <w:highlight w:val="none"/>
              </w:rPr>
              <w:t>2.投标人通过检验检测机构资质认定证书CMA得1分。</w:t>
            </w:r>
          </w:p>
          <w:p>
            <w:pPr>
              <w:spacing w:line="360" w:lineRule="auto"/>
              <w:ind w:firstLine="480"/>
              <w:rPr>
                <w:rFonts w:ascii="宋体" w:hAnsi="宋体" w:cs="宋体"/>
                <w:color w:val="auto"/>
                <w:highlight w:val="none"/>
              </w:rPr>
            </w:pPr>
            <w:r>
              <w:rPr>
                <w:rFonts w:hint="eastAsia" w:ascii="宋体" w:hAnsi="宋体" w:cs="宋体"/>
                <w:color w:val="auto"/>
                <w:highlight w:val="none"/>
              </w:rPr>
              <w:t>3.投标人能提供省级或以上的室间质评合格证书，得1分。</w:t>
            </w:r>
          </w:p>
          <w:p>
            <w:pPr>
              <w:spacing w:line="360" w:lineRule="auto"/>
              <w:ind w:firstLine="480"/>
              <w:rPr>
                <w:rFonts w:ascii="宋体" w:hAnsi="宋体" w:cs="宋体"/>
                <w:color w:val="auto"/>
                <w:highlight w:val="none"/>
              </w:rPr>
            </w:pPr>
            <w:r>
              <w:rPr>
                <w:rFonts w:hint="eastAsia" w:ascii="宋体" w:hAnsi="宋体" w:cs="宋体"/>
                <w:color w:val="auto"/>
                <w:highlight w:val="none"/>
              </w:rPr>
              <w:t>4.投标人为省级或以上三级医疗机构及医学检验所检验结果互认单位，得2分。</w:t>
            </w:r>
          </w:p>
          <w:p>
            <w:pPr>
              <w:spacing w:line="360" w:lineRule="auto"/>
              <w:ind w:firstLine="480"/>
              <w:rPr>
                <w:rFonts w:ascii="宋体" w:hAnsi="宋体" w:cs="宋体"/>
                <w:color w:val="auto"/>
                <w:highlight w:val="none"/>
              </w:rPr>
            </w:pPr>
            <w:r>
              <w:rPr>
                <w:rFonts w:hint="eastAsia" w:ascii="宋体" w:hAnsi="宋体" w:cs="宋体"/>
                <w:color w:val="auto"/>
                <w:highlight w:val="none"/>
              </w:rPr>
              <w:t>5.投标人需保证检验或病理信息安全，远程病理会诊平台信息系统通过公安部信息系统安全等级保护二级或以上证明得4分，无不得分。</w:t>
            </w:r>
          </w:p>
          <w:p>
            <w:pPr>
              <w:spacing w:line="360" w:lineRule="auto"/>
              <w:ind w:firstLine="480"/>
              <w:rPr>
                <w:rFonts w:ascii="宋体" w:hAnsi="宋体" w:cs="宋体"/>
                <w:color w:val="auto"/>
                <w:highlight w:val="none"/>
              </w:rPr>
            </w:pPr>
            <w:r>
              <w:rPr>
                <w:rFonts w:hint="eastAsia" w:ascii="宋体" w:hAnsi="宋体" w:cs="宋体"/>
                <w:color w:val="auto"/>
                <w:highlight w:val="none"/>
              </w:rPr>
              <w:t>6.</w:t>
            </w:r>
            <w:r>
              <w:rPr>
                <w:color w:val="auto"/>
                <w:highlight w:val="none"/>
              </w:rPr>
              <w:t>供应商具备基因检测</w:t>
            </w:r>
            <w:r>
              <w:rPr>
                <w:rFonts w:hint="eastAsia"/>
                <w:color w:val="auto"/>
                <w:highlight w:val="none"/>
              </w:rPr>
              <w:t>技术应用示范中心、高通量基因</w:t>
            </w:r>
            <w:r>
              <w:rPr>
                <w:color w:val="auto"/>
                <w:highlight w:val="none"/>
              </w:rPr>
              <w:t>测序</w:t>
            </w:r>
            <w:r>
              <w:rPr>
                <w:rFonts w:hint="eastAsia"/>
                <w:color w:val="auto"/>
                <w:highlight w:val="none"/>
              </w:rPr>
              <w:t>应用试点</w:t>
            </w:r>
            <w:r>
              <w:rPr>
                <w:color w:val="auto"/>
                <w:highlight w:val="none"/>
              </w:rPr>
              <w:t>等（提供权威部门颁发的相关证明材料加盖公章，每提供1个得2分，最高不超4分）；</w:t>
            </w:r>
          </w:p>
          <w:p>
            <w:pPr>
              <w:spacing w:line="360" w:lineRule="auto"/>
              <w:ind w:firstLine="480"/>
              <w:rPr>
                <w:rFonts w:ascii="宋体" w:hAnsi="宋体" w:cs="宋体"/>
                <w:color w:val="auto"/>
                <w:highlight w:val="none"/>
              </w:rPr>
            </w:pPr>
            <w:r>
              <w:rPr>
                <w:rFonts w:hint="eastAsia" w:ascii="宋体" w:hAnsi="宋体" w:cs="宋体"/>
                <w:color w:val="auto"/>
                <w:highlight w:val="none"/>
              </w:rPr>
              <w:t>注：提供相关证书复印件并加盖公章，非投标人主体所有资质不得分，不提供不得分。</w:t>
            </w:r>
          </w:p>
        </w:tc>
        <w:tc>
          <w:tcPr>
            <w:tcW w:w="967" w:type="dxa"/>
            <w:tcBorders>
              <w:left w:val="single" w:color="auto" w:sz="4" w:space="0"/>
            </w:tcBorders>
            <w:vAlign w:val="center"/>
          </w:tcPr>
          <w:p>
            <w:pPr>
              <w:spacing w:line="360" w:lineRule="auto"/>
              <w:ind w:left="-78" w:leftChars="-37" w:right="-73" w:rightChars="-35" w:firstLine="480"/>
              <w:jc w:val="center"/>
              <w:rPr>
                <w:rFonts w:ascii="宋体" w:hAnsi="宋体" w:cs="宋体"/>
                <w:color w:val="auto"/>
                <w:szCs w:val="21"/>
                <w:highlight w:val="none"/>
              </w:rPr>
            </w:pPr>
            <w:r>
              <w:rPr>
                <w:rFonts w:hint="eastAsia" w:ascii="宋体" w:hAnsi="宋体" w:cs="宋体"/>
                <w:color w:val="auto"/>
                <w:szCs w:val="21"/>
                <w:highlight w:val="none"/>
              </w:rPr>
              <w:t>13分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0" w:hRule="atLeast"/>
          <w:jc w:val="center"/>
        </w:trPr>
        <w:tc>
          <w:tcPr>
            <w:tcW w:w="771" w:type="dxa"/>
            <w:vMerge w:val="continue"/>
            <w:vAlign w:val="center"/>
          </w:tcPr>
          <w:p>
            <w:pPr>
              <w:widowControl/>
              <w:numPr>
                <w:ilvl w:val="0"/>
                <w:numId w:val="15"/>
              </w:numPr>
              <w:adjustRightInd w:val="0"/>
              <w:snapToGrid w:val="0"/>
              <w:spacing w:line="360" w:lineRule="auto"/>
              <w:ind w:firstLine="480"/>
              <w:jc w:val="center"/>
              <w:rPr>
                <w:rFonts w:ascii="宋体" w:hAnsi="宋体" w:cs="宋体"/>
                <w:color w:val="auto"/>
                <w:szCs w:val="21"/>
                <w:highlight w:val="none"/>
              </w:rPr>
            </w:pPr>
          </w:p>
        </w:tc>
        <w:tc>
          <w:tcPr>
            <w:tcW w:w="1552" w:type="dxa"/>
            <w:vAlign w:val="center"/>
          </w:tcPr>
          <w:p>
            <w:pPr>
              <w:spacing w:line="360" w:lineRule="auto"/>
              <w:ind w:firstLine="480"/>
              <w:jc w:val="center"/>
              <w:rPr>
                <w:rFonts w:ascii="宋体" w:hAnsi="宋体" w:cs="宋体"/>
                <w:color w:val="auto"/>
                <w:highlight w:val="none"/>
              </w:rPr>
            </w:pPr>
            <w:r>
              <w:rPr>
                <w:rFonts w:hint="eastAsia" w:ascii="宋体" w:hAnsi="宋体" w:cs="宋体"/>
                <w:color w:val="auto"/>
                <w:highlight w:val="none"/>
              </w:rPr>
              <w:t>管理体系认证情况</w:t>
            </w:r>
          </w:p>
        </w:tc>
        <w:tc>
          <w:tcPr>
            <w:tcW w:w="7134" w:type="dxa"/>
            <w:vAlign w:val="center"/>
          </w:tcPr>
          <w:p>
            <w:pPr>
              <w:widowControl/>
              <w:autoSpaceDE w:val="0"/>
              <w:autoSpaceDN w:val="0"/>
              <w:adjustRightInd w:val="0"/>
              <w:snapToGrid w:val="0"/>
              <w:spacing w:line="360" w:lineRule="auto"/>
              <w:ind w:firstLine="480"/>
              <w:jc w:val="left"/>
              <w:rPr>
                <w:rFonts w:ascii="宋体" w:hAnsi="宋体" w:cs="宋体"/>
                <w:color w:val="auto"/>
                <w:kern w:val="0"/>
                <w:sz w:val="22"/>
                <w:szCs w:val="22"/>
                <w:highlight w:val="none"/>
              </w:rPr>
            </w:pPr>
            <w:r>
              <w:rPr>
                <w:rFonts w:hint="eastAsia" w:ascii="宋体" w:hAnsi="宋体" w:cs="宋体"/>
                <w:color w:val="auto"/>
                <w:highlight w:val="none"/>
              </w:rPr>
              <w:t>1.</w:t>
            </w:r>
            <w:r>
              <w:rPr>
                <w:rFonts w:hint="eastAsia" w:ascii="宋体" w:hAnsi="宋体" w:cs="宋体"/>
                <w:color w:val="auto"/>
                <w:kern w:val="0"/>
                <w:sz w:val="22"/>
                <w:szCs w:val="22"/>
                <w:highlight w:val="none"/>
              </w:rPr>
              <w:t>投标人通过ISO9001质量管理体系认证，得1分；</w:t>
            </w:r>
          </w:p>
          <w:p>
            <w:pPr>
              <w:widowControl/>
              <w:autoSpaceDE w:val="0"/>
              <w:autoSpaceDN w:val="0"/>
              <w:adjustRightInd w:val="0"/>
              <w:snapToGrid w:val="0"/>
              <w:spacing w:line="360" w:lineRule="auto"/>
              <w:ind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2.投标人通过ISO14001环境管理体系认证，得1分；</w:t>
            </w:r>
          </w:p>
          <w:p>
            <w:pPr>
              <w:widowControl/>
              <w:autoSpaceDE w:val="0"/>
              <w:autoSpaceDN w:val="0"/>
              <w:adjustRightInd w:val="0"/>
              <w:snapToGrid w:val="0"/>
              <w:spacing w:line="360" w:lineRule="auto"/>
              <w:ind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3.投标人通过ISO45001职业健康安全管理体系认证，得1分；</w:t>
            </w:r>
          </w:p>
          <w:p>
            <w:pPr>
              <w:widowControl/>
              <w:autoSpaceDE w:val="0"/>
              <w:autoSpaceDN w:val="0"/>
              <w:adjustRightInd w:val="0"/>
              <w:snapToGrid w:val="0"/>
              <w:spacing w:line="360" w:lineRule="auto"/>
              <w:ind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4.投标人通过合规管理体系认证，得1分；</w:t>
            </w:r>
          </w:p>
          <w:p>
            <w:pPr>
              <w:widowControl/>
              <w:autoSpaceDE w:val="0"/>
              <w:autoSpaceDN w:val="0"/>
              <w:adjustRightInd w:val="0"/>
              <w:snapToGrid w:val="0"/>
              <w:spacing w:line="360" w:lineRule="auto"/>
              <w:ind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5.投标人通过诚信管理体系认证，得1分；</w:t>
            </w:r>
          </w:p>
          <w:p>
            <w:pPr>
              <w:widowControl/>
              <w:autoSpaceDE w:val="0"/>
              <w:autoSpaceDN w:val="0"/>
              <w:adjustRightInd w:val="0"/>
              <w:snapToGrid w:val="0"/>
              <w:spacing w:line="360" w:lineRule="auto"/>
              <w:ind w:firstLine="44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6.投标人通过质量信用评价体系认证，得1分。</w:t>
            </w:r>
          </w:p>
          <w:p>
            <w:pPr>
              <w:spacing w:line="360" w:lineRule="auto"/>
              <w:ind w:firstLine="480"/>
              <w:rPr>
                <w:rFonts w:ascii="宋体" w:hAnsi="宋体" w:cs="宋体"/>
                <w:color w:val="auto"/>
                <w:highlight w:val="none"/>
              </w:rPr>
            </w:pPr>
            <w:r>
              <w:rPr>
                <w:rFonts w:hint="eastAsia" w:ascii="宋体" w:hAnsi="宋体" w:cs="宋体"/>
                <w:color w:val="auto"/>
                <w:highlight w:val="none"/>
              </w:rPr>
              <w:t>注：提供相关证书复印件、全国认证认可信息公共服务平台查询截图并加盖公章，非投标人主体所有资质不得分，不提供不得分。</w:t>
            </w:r>
          </w:p>
        </w:tc>
        <w:tc>
          <w:tcPr>
            <w:tcW w:w="967" w:type="dxa"/>
            <w:tcBorders>
              <w:left w:val="single" w:color="auto" w:sz="4" w:space="0"/>
            </w:tcBorders>
            <w:vAlign w:val="center"/>
          </w:tcPr>
          <w:p>
            <w:pPr>
              <w:spacing w:line="360" w:lineRule="auto"/>
              <w:ind w:left="-78" w:leftChars="-37" w:right="-73" w:rightChars="-35" w:firstLine="480"/>
              <w:jc w:val="center"/>
              <w:rPr>
                <w:rFonts w:ascii="宋体" w:hAnsi="宋体" w:cs="宋体"/>
                <w:color w:val="auto"/>
                <w:szCs w:val="21"/>
                <w:highlight w:val="none"/>
              </w:rPr>
            </w:pPr>
            <w:r>
              <w:rPr>
                <w:rFonts w:hint="eastAsia" w:ascii="宋体" w:hAnsi="宋体" w:cs="宋体"/>
                <w:color w:val="auto"/>
                <w:szCs w:val="21"/>
                <w:highlight w:val="none"/>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4" w:hRule="atLeast"/>
          <w:jc w:val="center"/>
        </w:trPr>
        <w:tc>
          <w:tcPr>
            <w:tcW w:w="771" w:type="dxa"/>
            <w:vMerge w:val="continue"/>
            <w:vAlign w:val="center"/>
          </w:tcPr>
          <w:p>
            <w:pPr>
              <w:widowControl/>
              <w:numPr>
                <w:ilvl w:val="0"/>
                <w:numId w:val="15"/>
              </w:numPr>
              <w:adjustRightInd w:val="0"/>
              <w:snapToGrid w:val="0"/>
              <w:spacing w:line="360" w:lineRule="auto"/>
              <w:ind w:firstLine="480"/>
              <w:jc w:val="center"/>
              <w:rPr>
                <w:rFonts w:ascii="宋体" w:hAnsi="宋体" w:cs="宋体"/>
                <w:color w:val="auto"/>
                <w:szCs w:val="21"/>
                <w:highlight w:val="none"/>
              </w:rPr>
            </w:pPr>
          </w:p>
        </w:tc>
        <w:tc>
          <w:tcPr>
            <w:tcW w:w="1552" w:type="dxa"/>
            <w:vAlign w:val="center"/>
          </w:tcPr>
          <w:p>
            <w:pPr>
              <w:spacing w:line="360" w:lineRule="auto"/>
              <w:ind w:firstLine="440"/>
              <w:jc w:val="center"/>
              <w:rPr>
                <w:rFonts w:ascii="宋体" w:hAnsi="宋体" w:cs="宋体"/>
                <w:color w:val="auto"/>
                <w:szCs w:val="21"/>
                <w:highlight w:val="none"/>
              </w:rPr>
            </w:pPr>
            <w:r>
              <w:rPr>
                <w:rFonts w:hint="eastAsia" w:ascii="宋体" w:hAnsi="宋体" w:cs="宋体"/>
                <w:color w:val="auto"/>
                <w:kern w:val="0"/>
                <w:sz w:val="22"/>
                <w:szCs w:val="22"/>
                <w:highlight w:val="none"/>
              </w:rPr>
              <w:t>科研能力</w:t>
            </w:r>
          </w:p>
        </w:tc>
        <w:tc>
          <w:tcPr>
            <w:tcW w:w="7134" w:type="dxa"/>
            <w:vAlign w:val="center"/>
          </w:tcPr>
          <w:p>
            <w:pPr>
              <w:spacing w:line="360" w:lineRule="auto"/>
              <w:ind w:firstLine="440"/>
              <w:rPr>
                <w:rFonts w:ascii="宋体" w:hAnsi="宋体" w:cs="宋体"/>
                <w:color w:val="auto"/>
                <w:szCs w:val="21"/>
                <w:highlight w:val="none"/>
              </w:rPr>
            </w:pPr>
            <w:r>
              <w:rPr>
                <w:rFonts w:hint="eastAsia" w:ascii="宋体" w:hAnsi="宋体" w:cs="宋体"/>
                <w:color w:val="auto"/>
                <w:sz w:val="22"/>
                <w:szCs w:val="24"/>
                <w:highlight w:val="none"/>
              </w:rPr>
              <w:t>1.</w:t>
            </w:r>
            <w:r>
              <w:rPr>
                <w:rStyle w:val="15"/>
                <w:rFonts w:hint="eastAsia" w:ascii="宋体" w:hAnsi="宋体" w:cs="宋体"/>
                <w:color w:val="auto"/>
                <w:highlight w:val="none"/>
              </w:rPr>
              <w:t>投标人曾获得省级或以上行政部门颁发的科学技术、科技进步等奖项得3分</w:t>
            </w:r>
            <w:r>
              <w:rPr>
                <w:rFonts w:hint="eastAsia" w:ascii="宋体" w:hAnsi="宋体" w:cs="宋体"/>
                <w:color w:val="auto"/>
                <w:sz w:val="22"/>
                <w:szCs w:val="24"/>
                <w:highlight w:val="none"/>
              </w:rPr>
              <w:t>；</w:t>
            </w:r>
          </w:p>
        </w:tc>
        <w:tc>
          <w:tcPr>
            <w:tcW w:w="967" w:type="dxa"/>
            <w:tcBorders>
              <w:left w:val="single" w:color="auto" w:sz="4" w:space="0"/>
            </w:tcBorders>
            <w:vAlign w:val="center"/>
          </w:tcPr>
          <w:p>
            <w:pPr>
              <w:spacing w:line="360" w:lineRule="auto"/>
              <w:ind w:left="-78" w:leftChars="-37" w:right="-73" w:rightChars="-35" w:firstLine="480"/>
              <w:jc w:val="center"/>
              <w:rPr>
                <w:rFonts w:ascii="宋体" w:hAnsi="宋体" w:cs="宋体"/>
                <w:color w:val="auto"/>
                <w:szCs w:val="21"/>
                <w:highlight w:val="none"/>
              </w:rPr>
            </w:pPr>
            <w:r>
              <w:rPr>
                <w:rFonts w:hint="eastAsia" w:ascii="宋体" w:hAnsi="宋体" w:cs="宋体"/>
                <w:color w:val="auto"/>
                <w:szCs w:val="21"/>
                <w:highlight w:val="none"/>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35" w:hRule="atLeast"/>
          <w:jc w:val="center"/>
        </w:trPr>
        <w:tc>
          <w:tcPr>
            <w:tcW w:w="771" w:type="dxa"/>
            <w:tcBorders>
              <w:bottom w:val="single" w:color="auto" w:sz="4" w:space="0"/>
            </w:tcBorders>
            <w:vAlign w:val="center"/>
          </w:tcPr>
          <w:p>
            <w:pPr>
              <w:widowControl/>
              <w:numPr>
                <w:ilvl w:val="0"/>
                <w:numId w:val="15"/>
              </w:numPr>
              <w:adjustRightInd w:val="0"/>
              <w:snapToGrid w:val="0"/>
              <w:spacing w:line="360" w:lineRule="auto"/>
              <w:ind w:firstLine="480"/>
              <w:jc w:val="center"/>
              <w:rPr>
                <w:rFonts w:ascii="宋体" w:hAnsi="宋体" w:cs="宋体"/>
                <w:color w:val="auto"/>
                <w:szCs w:val="21"/>
                <w:highlight w:val="none"/>
              </w:rPr>
            </w:pPr>
          </w:p>
        </w:tc>
        <w:tc>
          <w:tcPr>
            <w:tcW w:w="1552" w:type="dxa"/>
            <w:vAlign w:val="center"/>
          </w:tcPr>
          <w:p>
            <w:pPr>
              <w:tabs>
                <w:tab w:val="left" w:pos="378"/>
              </w:tabs>
              <w:spacing w:line="360" w:lineRule="auto"/>
              <w:ind w:firstLine="480"/>
              <w:jc w:val="center"/>
              <w:rPr>
                <w:rFonts w:ascii="宋体" w:hAnsi="宋体" w:cs="宋体"/>
                <w:color w:val="auto"/>
                <w:szCs w:val="21"/>
                <w:highlight w:val="none"/>
              </w:rPr>
            </w:pPr>
            <w:r>
              <w:rPr>
                <w:rFonts w:hint="eastAsia" w:ascii="宋体" w:hAnsi="宋体" w:cs="宋体"/>
                <w:color w:val="auto"/>
                <w:szCs w:val="21"/>
                <w:highlight w:val="none"/>
              </w:rPr>
              <w:t>同类项目业绩</w:t>
            </w:r>
          </w:p>
        </w:tc>
        <w:tc>
          <w:tcPr>
            <w:tcW w:w="7134" w:type="dxa"/>
            <w:vAlign w:val="center"/>
          </w:tcPr>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投标人近三年具有公立三级医疗机构同类项目的业绩，每提供一份有效合同得1分，最多得10分。</w:t>
            </w:r>
          </w:p>
          <w:p>
            <w:pPr>
              <w:spacing w:line="360" w:lineRule="auto"/>
              <w:ind w:firstLine="480"/>
              <w:rPr>
                <w:rFonts w:ascii="宋体" w:hAnsi="宋体" w:cs="宋体"/>
                <w:strike/>
                <w:color w:val="auto"/>
                <w:szCs w:val="21"/>
                <w:highlight w:val="none"/>
              </w:rPr>
            </w:pPr>
            <w:r>
              <w:rPr>
                <w:rFonts w:hint="eastAsia" w:ascii="宋体" w:hAnsi="宋体" w:cs="宋体"/>
                <w:color w:val="auto"/>
                <w:szCs w:val="21"/>
                <w:highlight w:val="none"/>
              </w:rPr>
              <w:t>（注：同一家单位的合同不重复计分。需提供合同关键页（含签订合同双方的单位名称、合同项目名称与含签订合同双方的落款盖章、签订日期的关键页）复印件并加盖投标人公章作为证明材料，不提供的不得分。）</w:t>
            </w:r>
          </w:p>
        </w:tc>
        <w:tc>
          <w:tcPr>
            <w:tcW w:w="967" w:type="dxa"/>
            <w:tcBorders>
              <w:left w:val="single" w:color="auto" w:sz="4" w:space="0"/>
            </w:tcBorders>
            <w:vAlign w:val="center"/>
          </w:tcPr>
          <w:p>
            <w:pPr>
              <w:spacing w:line="360" w:lineRule="auto"/>
              <w:ind w:firstLine="480"/>
              <w:jc w:val="center"/>
              <w:rPr>
                <w:rFonts w:ascii="宋体" w:hAnsi="宋体" w:cs="宋体"/>
                <w:color w:val="auto"/>
                <w:szCs w:val="21"/>
                <w:highlight w:val="none"/>
              </w:rPr>
            </w:pPr>
            <w:r>
              <w:rPr>
                <w:rFonts w:hint="eastAsia" w:ascii="宋体" w:hAnsi="宋体" w:cs="宋体"/>
                <w:color w:val="auto"/>
                <w:szCs w:val="21"/>
                <w:highlight w:val="none"/>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4" w:hRule="atLeast"/>
          <w:jc w:val="center"/>
        </w:trPr>
        <w:tc>
          <w:tcPr>
            <w:tcW w:w="10424" w:type="dxa"/>
            <w:gridSpan w:val="4"/>
            <w:tcBorders>
              <w:top w:val="single" w:color="auto" w:sz="4" w:space="0"/>
            </w:tcBorders>
            <w:vAlign w:val="center"/>
          </w:tcPr>
          <w:p>
            <w:pPr>
              <w:spacing w:line="360" w:lineRule="auto"/>
              <w:ind w:left="-78" w:leftChars="-37" w:right="-73" w:rightChars="-35" w:firstLine="482"/>
              <w:jc w:val="center"/>
              <w:rPr>
                <w:rFonts w:ascii="宋体" w:hAnsi="宋体" w:cs="宋体"/>
                <w:b/>
                <w:color w:val="auto"/>
                <w:szCs w:val="21"/>
                <w:highlight w:val="none"/>
              </w:rPr>
            </w:pPr>
            <w:r>
              <w:rPr>
                <w:rFonts w:hint="eastAsia" w:ascii="宋体" w:hAnsi="宋体" w:cs="宋体"/>
                <w:b/>
                <w:color w:val="auto"/>
                <w:szCs w:val="21"/>
                <w:highlight w:val="none"/>
              </w:rPr>
              <w:t>价格部分（满分10分）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99" w:hRule="atLeast"/>
          <w:jc w:val="center"/>
        </w:trPr>
        <w:tc>
          <w:tcPr>
            <w:tcW w:w="771" w:type="dxa"/>
            <w:vAlign w:val="center"/>
          </w:tcPr>
          <w:p>
            <w:pPr>
              <w:spacing w:line="360" w:lineRule="auto"/>
              <w:ind w:firstLine="480"/>
              <w:jc w:val="center"/>
              <w:rPr>
                <w:rFonts w:ascii="宋体" w:hAnsi="宋体" w:cs="宋体"/>
                <w:color w:val="auto"/>
                <w:szCs w:val="21"/>
                <w:highlight w:val="none"/>
              </w:rPr>
            </w:pPr>
            <w:r>
              <w:rPr>
                <w:rFonts w:hint="eastAsia" w:ascii="宋体" w:hAnsi="宋体" w:cs="宋体"/>
                <w:color w:val="auto"/>
                <w:szCs w:val="21"/>
                <w:highlight w:val="none"/>
              </w:rPr>
              <w:t>1</w:t>
            </w:r>
          </w:p>
        </w:tc>
        <w:tc>
          <w:tcPr>
            <w:tcW w:w="1552" w:type="dxa"/>
            <w:vAlign w:val="center"/>
          </w:tcPr>
          <w:p>
            <w:pPr>
              <w:widowControl/>
              <w:adjustRightInd w:val="0"/>
              <w:snapToGrid w:val="0"/>
              <w:spacing w:line="360" w:lineRule="auto"/>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w:t>
            </w:r>
          </w:p>
        </w:tc>
        <w:tc>
          <w:tcPr>
            <w:tcW w:w="7134" w:type="dxa"/>
            <w:vAlign w:val="center"/>
          </w:tcPr>
          <w:p>
            <w:pPr>
              <w:widowControl/>
              <w:autoSpaceDE w:val="0"/>
              <w:autoSpaceDN w:val="0"/>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投标报价得分=(评标基准价／投标报价)×100×价格权值（10%）</w:t>
            </w:r>
          </w:p>
          <w:p>
            <w:pPr>
              <w:widowControl/>
              <w:adjustRightInd w:val="0"/>
              <w:snapToGrid w:val="0"/>
              <w:spacing w:line="360" w:lineRule="auto"/>
              <w:ind w:firstLine="480"/>
              <w:jc w:val="left"/>
              <w:rPr>
                <w:rFonts w:ascii="宋体" w:hAnsi="宋体" w:cs="宋体"/>
                <w:bCs/>
                <w:color w:val="auto"/>
                <w:kern w:val="0"/>
                <w:szCs w:val="21"/>
                <w:highlight w:val="none"/>
              </w:rPr>
            </w:pPr>
            <w:r>
              <w:rPr>
                <w:rFonts w:hint="eastAsia" w:ascii="宋体" w:hAnsi="宋体" w:cs="宋体"/>
                <w:bCs/>
                <w:color w:val="auto"/>
                <w:kern w:val="0"/>
                <w:szCs w:val="21"/>
                <w:highlight w:val="none"/>
              </w:rPr>
              <w:t>备注：投标报价得分四舍五入后，</w:t>
            </w:r>
            <w:r>
              <w:rPr>
                <w:rFonts w:hint="eastAsia" w:ascii="宋体" w:hAnsi="宋体" w:cs="宋体"/>
                <w:color w:val="auto"/>
                <w:kern w:val="0"/>
                <w:szCs w:val="21"/>
                <w:highlight w:val="none"/>
              </w:rPr>
              <w:t>小数点后保留两位有效数</w:t>
            </w:r>
            <w:r>
              <w:rPr>
                <w:rFonts w:hint="eastAsia" w:ascii="宋体" w:hAnsi="宋体" w:cs="宋体"/>
                <w:bCs/>
                <w:color w:val="auto"/>
                <w:kern w:val="0"/>
                <w:szCs w:val="21"/>
                <w:highlight w:val="none"/>
              </w:rPr>
              <w:t>；</w:t>
            </w:r>
          </w:p>
          <w:p>
            <w:pPr>
              <w:widowControl/>
              <w:adjustRightInd w:val="0"/>
              <w:snapToGrid w:val="0"/>
              <w:spacing w:line="360" w:lineRule="auto"/>
              <w:ind w:firstLine="482"/>
              <w:jc w:val="left"/>
              <w:rPr>
                <w:rFonts w:ascii="宋体" w:hAnsi="宋体" w:cs="宋体"/>
                <w:color w:val="auto"/>
                <w:kern w:val="0"/>
                <w:szCs w:val="21"/>
                <w:highlight w:val="none"/>
              </w:rPr>
            </w:pPr>
            <w:r>
              <w:rPr>
                <w:rFonts w:hint="eastAsia" w:ascii="宋体" w:hAnsi="宋体" w:cs="宋体"/>
                <w:b/>
                <w:bCs/>
                <w:color w:val="auto"/>
                <w:kern w:val="0"/>
                <w:szCs w:val="21"/>
                <w:highlight w:val="none"/>
                <w:u w:val="double"/>
              </w:rPr>
              <w:t>投标报价以折扣率进行价格评分的计算。</w:t>
            </w:r>
          </w:p>
        </w:tc>
        <w:tc>
          <w:tcPr>
            <w:tcW w:w="967" w:type="dxa"/>
            <w:tcBorders>
              <w:left w:val="single" w:color="auto" w:sz="4" w:space="0"/>
            </w:tcBorders>
            <w:vAlign w:val="center"/>
          </w:tcPr>
          <w:p>
            <w:pPr>
              <w:widowControl/>
              <w:adjustRightInd w:val="0"/>
              <w:snapToGrid w:val="0"/>
              <w:spacing w:line="360" w:lineRule="auto"/>
              <w:ind w:left="-78" w:leftChars="-37" w:right="-73" w:rightChars="-35"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10分</w:t>
            </w:r>
          </w:p>
        </w:tc>
      </w:tr>
    </w:tbl>
    <w:p>
      <w:pPr>
        <w:ind w:firstLine="480"/>
        <w:rPr>
          <w:rFonts w:ascii="宋体" w:hAnsi="宋体" w:cs="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3E92F"/>
    <w:multiLevelType w:val="singleLevel"/>
    <w:tmpl w:val="9F93E92F"/>
    <w:lvl w:ilvl="0" w:tentative="0">
      <w:start w:val="1"/>
      <w:numFmt w:val="chineseCounting"/>
      <w:suff w:val="nothing"/>
      <w:lvlText w:val="%1、"/>
      <w:lvlJc w:val="left"/>
      <w:rPr>
        <w:rFonts w:hint="eastAsia"/>
      </w:rPr>
    </w:lvl>
  </w:abstractNum>
  <w:abstractNum w:abstractNumId="1">
    <w:nsid w:val="B40F00F1"/>
    <w:multiLevelType w:val="singleLevel"/>
    <w:tmpl w:val="B40F00F1"/>
    <w:lvl w:ilvl="0" w:tentative="0">
      <w:start w:val="1"/>
      <w:numFmt w:val="decimal"/>
      <w:lvlText w:val="（%1)"/>
      <w:lvlJc w:val="left"/>
      <w:pPr>
        <w:tabs>
          <w:tab w:val="left" w:pos="312"/>
        </w:tabs>
      </w:pPr>
    </w:lvl>
  </w:abstractNum>
  <w:abstractNum w:abstractNumId="2">
    <w:nsid w:val="C2343F26"/>
    <w:multiLevelType w:val="singleLevel"/>
    <w:tmpl w:val="C2343F26"/>
    <w:lvl w:ilvl="0" w:tentative="0">
      <w:start w:val="1"/>
      <w:numFmt w:val="decimal"/>
      <w:lvlText w:val="%1."/>
      <w:lvlJc w:val="left"/>
      <w:pPr>
        <w:tabs>
          <w:tab w:val="left" w:pos="312"/>
        </w:tabs>
      </w:pPr>
    </w:lvl>
  </w:abstractNum>
  <w:abstractNum w:abstractNumId="3">
    <w:nsid w:val="0AD485C4"/>
    <w:multiLevelType w:val="singleLevel"/>
    <w:tmpl w:val="0AD485C4"/>
    <w:lvl w:ilvl="0" w:tentative="0">
      <w:start w:val="1"/>
      <w:numFmt w:val="decimal"/>
      <w:suff w:val="nothing"/>
      <w:lvlText w:val="%1、"/>
      <w:lvlJc w:val="left"/>
    </w:lvl>
  </w:abstractNum>
  <w:abstractNum w:abstractNumId="4">
    <w:nsid w:val="1D631D7B"/>
    <w:multiLevelType w:val="multilevel"/>
    <w:tmpl w:val="1D631D7B"/>
    <w:lvl w:ilvl="0" w:tentative="0">
      <w:start w:val="1"/>
      <w:numFmt w:val="decimal"/>
      <w:lvlText w:val="%1"/>
      <w:lvlJc w:val="left"/>
      <w:pPr>
        <w:ind w:left="425" w:hanging="425"/>
      </w:pPr>
      <w:rPr>
        <w:rFonts w:hint="eastAsia" w:ascii="宋体" w:hAnsi="宋体" w:eastAsia="宋体"/>
        <w:b w:val="0"/>
        <w:i w:val="0"/>
        <w:sz w:val="44"/>
      </w:rPr>
    </w:lvl>
    <w:lvl w:ilvl="1" w:tentative="0">
      <w:start w:val="1"/>
      <w:numFmt w:val="decimal"/>
      <w:pStyle w:val="2"/>
      <w:suff w:val="space"/>
      <w:lvlText w:val="%1.%2"/>
      <w:lvlJc w:val="left"/>
      <w:pPr>
        <w:ind w:left="992" w:hanging="992"/>
      </w:pPr>
      <w:rPr>
        <w:rFonts w:hint="eastAsia" w:ascii="宋体" w:hAnsi="宋体" w:eastAsia="宋体"/>
        <w:b w:val="0"/>
        <w:i w:val="0"/>
        <w:sz w:val="36"/>
      </w:rPr>
    </w:lvl>
    <w:lvl w:ilvl="2" w:tentative="0">
      <w:start w:val="1"/>
      <w:numFmt w:val="decimal"/>
      <w:pStyle w:val="3"/>
      <w:suff w:val="space"/>
      <w:lvlText w:val="%1.%2.%3"/>
      <w:lvlJc w:val="left"/>
      <w:pPr>
        <w:ind w:left="1418" w:hanging="1418"/>
      </w:pPr>
      <w:rPr>
        <w:rFonts w:hint="eastAsia" w:ascii="宋体" w:hAnsi="宋体" w:eastAsia="宋体"/>
        <w:b w:val="0"/>
        <w:i w:val="0"/>
        <w:sz w:val="32"/>
      </w:rPr>
    </w:lvl>
    <w:lvl w:ilvl="3" w:tentative="0">
      <w:start w:val="1"/>
      <w:numFmt w:val="decimal"/>
      <w:pStyle w:val="4"/>
      <w:suff w:val="space"/>
      <w:lvlText w:val="%1.%2.%3.%4"/>
      <w:lvlJc w:val="left"/>
      <w:pPr>
        <w:ind w:left="1984" w:hanging="1984"/>
      </w:pPr>
      <w:rPr>
        <w:rFonts w:hint="eastAsia" w:ascii="宋体" w:hAnsi="宋体" w:eastAsia="宋体"/>
        <w:b w:val="0"/>
        <w:i w:val="0"/>
        <w:sz w:val="30"/>
      </w:rPr>
    </w:lvl>
    <w:lvl w:ilvl="4" w:tentative="0">
      <w:start w:val="1"/>
      <w:numFmt w:val="decimal"/>
      <w:suff w:val="space"/>
      <w:lvlText w:val="%1.%2.%3.%4.%5"/>
      <w:lvlJc w:val="left"/>
      <w:pPr>
        <w:ind w:left="2551" w:hanging="2551"/>
      </w:pPr>
      <w:rPr>
        <w:rFonts w:hint="eastAsia" w:ascii="宋体" w:hAnsi="宋体" w:eastAsia="宋体"/>
        <w:b w:val="0"/>
        <w:i w:val="0"/>
        <w:sz w:val="28"/>
      </w:rPr>
    </w:lvl>
    <w:lvl w:ilvl="5" w:tentative="0">
      <w:start w:val="1"/>
      <w:numFmt w:val="decimal"/>
      <w:pStyle w:val="6"/>
      <w:suff w:val="space"/>
      <w:lvlText w:val="%1.%2.%3.%4.%5.%6"/>
      <w:lvlJc w:val="left"/>
      <w:pPr>
        <w:ind w:left="3260" w:hanging="3260"/>
      </w:pPr>
      <w:rPr>
        <w:rFonts w:hint="eastAsia" w:ascii="宋体" w:hAnsi="宋体" w:eastAsia="宋体"/>
        <w:b w:val="0"/>
        <w:i w:val="0"/>
        <w:sz w:val="24"/>
      </w:rPr>
    </w:lvl>
    <w:lvl w:ilvl="6" w:tentative="0">
      <w:start w:val="1"/>
      <w:numFmt w:val="decimal"/>
      <w:suff w:val="space"/>
      <w:lvlText w:val="%1.%2.%3.%4.%5.%6.%7"/>
      <w:lvlJc w:val="left"/>
      <w:pPr>
        <w:ind w:left="3827" w:hanging="3827"/>
      </w:pPr>
      <w:rPr>
        <w:rFonts w:hint="eastAsia" w:ascii="宋体" w:hAnsi="宋体" w:eastAsia="宋体"/>
        <w:b w:val="0"/>
        <w:i w:val="0"/>
        <w:sz w:val="24"/>
      </w:rPr>
    </w:lvl>
    <w:lvl w:ilvl="7" w:tentative="0">
      <w:start w:val="1"/>
      <w:numFmt w:val="decimal"/>
      <w:pStyle w:val="7"/>
      <w:suff w:val="space"/>
      <w:lvlText w:val="%1.%2.%3.%4.%5.%6.%7.%8"/>
      <w:lvlJc w:val="left"/>
      <w:pPr>
        <w:ind w:left="4394" w:hanging="4394"/>
      </w:pPr>
      <w:rPr>
        <w:rFonts w:hint="eastAsia" w:ascii="宋体" w:hAnsi="宋体" w:eastAsia="宋体"/>
        <w:b w:val="0"/>
        <w:i w:val="0"/>
        <w:sz w:val="24"/>
      </w:rPr>
    </w:lvl>
    <w:lvl w:ilvl="8" w:tentative="0">
      <w:start w:val="1"/>
      <w:numFmt w:val="decimal"/>
      <w:pStyle w:val="8"/>
      <w:suff w:val="space"/>
      <w:lvlText w:val="%1.%2.%3.%4.%5.%6.%7.%8.%9"/>
      <w:lvlJc w:val="left"/>
      <w:pPr>
        <w:ind w:left="5102" w:hanging="5102"/>
      </w:pPr>
      <w:rPr>
        <w:rFonts w:hint="eastAsia" w:ascii="宋体" w:hAnsi="宋体" w:eastAsia="宋体"/>
        <w:b w:val="0"/>
        <w:i w:val="0"/>
        <w:sz w:val="24"/>
      </w:rPr>
    </w:lvl>
  </w:abstractNum>
  <w:abstractNum w:abstractNumId="5">
    <w:nsid w:val="209B1F07"/>
    <w:multiLevelType w:val="multilevel"/>
    <w:tmpl w:val="209B1F07"/>
    <w:lvl w:ilvl="0" w:tentative="0">
      <w:start w:val="7"/>
      <w:numFmt w:val="decimal"/>
      <w:lvlText w:val="%1."/>
      <w:lvlJc w:val="left"/>
      <w:pPr>
        <w:tabs>
          <w:tab w:val="left" w:pos="425"/>
        </w:tabs>
        <w:ind w:left="425" w:hanging="425"/>
      </w:pPr>
      <w:rPr>
        <w:rFonts w:hint="eastAsia" w:ascii="宋体" w:hAnsi="宋体" w:eastAsia="宋体"/>
        <w:b w:val="0"/>
        <w:color w:val="auto"/>
      </w:rPr>
    </w:lvl>
    <w:lvl w:ilvl="1" w:tentative="0">
      <w:start w:val="1"/>
      <w:numFmt w:val="decimal"/>
      <w:lvlText w:val="%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20A80CDA"/>
    <w:multiLevelType w:val="multilevel"/>
    <w:tmpl w:val="20A80C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FB95C3"/>
    <w:multiLevelType w:val="singleLevel"/>
    <w:tmpl w:val="2EFB95C3"/>
    <w:lvl w:ilvl="0" w:tentative="0">
      <w:start w:val="5"/>
      <w:numFmt w:val="chineseCounting"/>
      <w:suff w:val="nothing"/>
      <w:lvlText w:val="%1、"/>
      <w:lvlJc w:val="left"/>
      <w:rPr>
        <w:rFonts w:hint="eastAsia"/>
      </w:rPr>
    </w:lvl>
  </w:abstractNum>
  <w:abstractNum w:abstractNumId="8">
    <w:nsid w:val="31501247"/>
    <w:multiLevelType w:val="multilevel"/>
    <w:tmpl w:val="3150124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38D33738"/>
    <w:multiLevelType w:val="singleLevel"/>
    <w:tmpl w:val="38D33738"/>
    <w:lvl w:ilvl="0" w:tentative="0">
      <w:start w:val="1"/>
      <w:numFmt w:val="decimal"/>
      <w:suff w:val="nothing"/>
      <w:lvlText w:val="%1、"/>
      <w:lvlJc w:val="left"/>
    </w:lvl>
  </w:abstractNum>
  <w:abstractNum w:abstractNumId="10">
    <w:nsid w:val="3C8F70CE"/>
    <w:multiLevelType w:val="multilevel"/>
    <w:tmpl w:val="3C8F70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077E09"/>
    <w:multiLevelType w:val="multilevel"/>
    <w:tmpl w:val="3D077E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290F0F"/>
    <w:multiLevelType w:val="multilevel"/>
    <w:tmpl w:val="57290F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81FAEF"/>
    <w:multiLevelType w:val="singleLevel"/>
    <w:tmpl w:val="6881FAEF"/>
    <w:lvl w:ilvl="0" w:tentative="0">
      <w:start w:val="1"/>
      <w:numFmt w:val="decimal"/>
      <w:suff w:val="nothing"/>
      <w:lvlText w:val="%1、"/>
      <w:lvlJc w:val="left"/>
    </w:lvl>
  </w:abstractNum>
  <w:abstractNum w:abstractNumId="14">
    <w:nsid w:val="69A37474"/>
    <w:multiLevelType w:val="singleLevel"/>
    <w:tmpl w:val="69A37474"/>
    <w:lvl w:ilvl="0" w:tentative="0">
      <w:start w:val="1"/>
      <w:numFmt w:val="decimal"/>
      <w:lvlText w:val="%1."/>
      <w:lvlJc w:val="left"/>
      <w:pPr>
        <w:tabs>
          <w:tab w:val="left" w:pos="312"/>
        </w:tabs>
      </w:pPr>
    </w:lvl>
  </w:abstractNum>
  <w:abstractNum w:abstractNumId="15">
    <w:nsid w:val="70F24DB3"/>
    <w:multiLevelType w:val="multilevel"/>
    <w:tmpl w:val="70F24D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13"/>
  </w:num>
  <w:num w:numId="4">
    <w:abstractNumId w:val="5"/>
  </w:num>
  <w:num w:numId="5">
    <w:abstractNumId w:val="0"/>
  </w:num>
  <w:num w:numId="6">
    <w:abstractNumId w:val="1"/>
  </w:num>
  <w:num w:numId="7">
    <w:abstractNumId w:val="7"/>
  </w:num>
  <w:num w:numId="8">
    <w:abstractNumId w:val="6"/>
  </w:num>
  <w:num w:numId="9">
    <w:abstractNumId w:val="3"/>
  </w:num>
  <w:num w:numId="10">
    <w:abstractNumId w:val="11"/>
  </w:num>
  <w:num w:numId="11">
    <w:abstractNumId w:val="15"/>
  </w:num>
  <w:num w:numId="12">
    <w:abstractNumId w:val="9"/>
  </w:num>
  <w:num w:numId="13">
    <w:abstractNumId w:val="2"/>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yZjFmMjcwZGIyN2Y0ZmU3MDdhNjA3ZjAzMmQ1ZWIifQ=="/>
  </w:docVars>
  <w:rsids>
    <w:rsidRoot w:val="00172A27"/>
    <w:rsid w:val="00011319"/>
    <w:rsid w:val="00045128"/>
    <w:rsid w:val="000E3EF7"/>
    <w:rsid w:val="001371E0"/>
    <w:rsid w:val="00141BD2"/>
    <w:rsid w:val="00155E74"/>
    <w:rsid w:val="00172A27"/>
    <w:rsid w:val="00217DB5"/>
    <w:rsid w:val="0023115B"/>
    <w:rsid w:val="00236BEB"/>
    <w:rsid w:val="00283686"/>
    <w:rsid w:val="00294A19"/>
    <w:rsid w:val="00297658"/>
    <w:rsid w:val="002A31B5"/>
    <w:rsid w:val="003001CB"/>
    <w:rsid w:val="00313CFE"/>
    <w:rsid w:val="003A2D2A"/>
    <w:rsid w:val="003B43C3"/>
    <w:rsid w:val="003B46D4"/>
    <w:rsid w:val="00443B36"/>
    <w:rsid w:val="004B2980"/>
    <w:rsid w:val="00546583"/>
    <w:rsid w:val="00652416"/>
    <w:rsid w:val="00653012"/>
    <w:rsid w:val="0066075D"/>
    <w:rsid w:val="006C357D"/>
    <w:rsid w:val="006C44D4"/>
    <w:rsid w:val="006E68E5"/>
    <w:rsid w:val="00705999"/>
    <w:rsid w:val="00733297"/>
    <w:rsid w:val="00835883"/>
    <w:rsid w:val="00862458"/>
    <w:rsid w:val="008E30BE"/>
    <w:rsid w:val="00920018"/>
    <w:rsid w:val="00936943"/>
    <w:rsid w:val="00937040"/>
    <w:rsid w:val="009805D5"/>
    <w:rsid w:val="009E2212"/>
    <w:rsid w:val="009F38DA"/>
    <w:rsid w:val="00A10062"/>
    <w:rsid w:val="00A33E2D"/>
    <w:rsid w:val="00A60538"/>
    <w:rsid w:val="00A774FD"/>
    <w:rsid w:val="00AC1DCE"/>
    <w:rsid w:val="00B168C4"/>
    <w:rsid w:val="00B46D02"/>
    <w:rsid w:val="00B95C3B"/>
    <w:rsid w:val="00C07FA0"/>
    <w:rsid w:val="00C369AF"/>
    <w:rsid w:val="00C5666B"/>
    <w:rsid w:val="00CD6153"/>
    <w:rsid w:val="00D24516"/>
    <w:rsid w:val="00DE689B"/>
    <w:rsid w:val="00E3086A"/>
    <w:rsid w:val="00E31BC6"/>
    <w:rsid w:val="00E425A7"/>
    <w:rsid w:val="00E77328"/>
    <w:rsid w:val="00EB1B0E"/>
    <w:rsid w:val="00F026AF"/>
    <w:rsid w:val="00F40533"/>
    <w:rsid w:val="00F42326"/>
    <w:rsid w:val="00F449BA"/>
    <w:rsid w:val="00F71389"/>
    <w:rsid w:val="00F8345C"/>
    <w:rsid w:val="01B63EB8"/>
    <w:rsid w:val="02126FF2"/>
    <w:rsid w:val="035233BA"/>
    <w:rsid w:val="065D1254"/>
    <w:rsid w:val="07DC2147"/>
    <w:rsid w:val="08307CE1"/>
    <w:rsid w:val="08680D51"/>
    <w:rsid w:val="08FB4D52"/>
    <w:rsid w:val="093D0ED4"/>
    <w:rsid w:val="0DED6674"/>
    <w:rsid w:val="0E1F5B33"/>
    <w:rsid w:val="0E306EF0"/>
    <w:rsid w:val="11C97ABB"/>
    <w:rsid w:val="11D751E5"/>
    <w:rsid w:val="120321F9"/>
    <w:rsid w:val="1335575A"/>
    <w:rsid w:val="135268D0"/>
    <w:rsid w:val="139B4634"/>
    <w:rsid w:val="1A88331F"/>
    <w:rsid w:val="1AC71AD2"/>
    <w:rsid w:val="1AD57668"/>
    <w:rsid w:val="1B4207CC"/>
    <w:rsid w:val="1C650579"/>
    <w:rsid w:val="1FE5132D"/>
    <w:rsid w:val="228A7081"/>
    <w:rsid w:val="278F2F9D"/>
    <w:rsid w:val="27D72D69"/>
    <w:rsid w:val="291E49C7"/>
    <w:rsid w:val="29407CB1"/>
    <w:rsid w:val="295D64CD"/>
    <w:rsid w:val="2AB70BBA"/>
    <w:rsid w:val="2CA83ACE"/>
    <w:rsid w:val="2DA41195"/>
    <w:rsid w:val="2E2F1924"/>
    <w:rsid w:val="2E44432B"/>
    <w:rsid w:val="2E685B97"/>
    <w:rsid w:val="2F866E22"/>
    <w:rsid w:val="30310EC7"/>
    <w:rsid w:val="3150306C"/>
    <w:rsid w:val="35216376"/>
    <w:rsid w:val="36992AB2"/>
    <w:rsid w:val="36C81ABF"/>
    <w:rsid w:val="38834B4C"/>
    <w:rsid w:val="38D43325"/>
    <w:rsid w:val="39657CCF"/>
    <w:rsid w:val="398459B7"/>
    <w:rsid w:val="3AA70684"/>
    <w:rsid w:val="3BB34512"/>
    <w:rsid w:val="3DA27F60"/>
    <w:rsid w:val="3F694B27"/>
    <w:rsid w:val="427A1A62"/>
    <w:rsid w:val="43155737"/>
    <w:rsid w:val="4424022E"/>
    <w:rsid w:val="47736C10"/>
    <w:rsid w:val="49EA7E19"/>
    <w:rsid w:val="4B9F1943"/>
    <w:rsid w:val="4C58285D"/>
    <w:rsid w:val="4EB63CEC"/>
    <w:rsid w:val="4FE73D96"/>
    <w:rsid w:val="4FEF6BC0"/>
    <w:rsid w:val="50394F19"/>
    <w:rsid w:val="50A6102B"/>
    <w:rsid w:val="50D323AF"/>
    <w:rsid w:val="51313A2D"/>
    <w:rsid w:val="56D05CE2"/>
    <w:rsid w:val="570F7020"/>
    <w:rsid w:val="576819C4"/>
    <w:rsid w:val="5AA34B41"/>
    <w:rsid w:val="5B5B44F6"/>
    <w:rsid w:val="5B9D0FAF"/>
    <w:rsid w:val="5BE76B2F"/>
    <w:rsid w:val="5D020F32"/>
    <w:rsid w:val="5ED26894"/>
    <w:rsid w:val="5FB97BBD"/>
    <w:rsid w:val="60E13634"/>
    <w:rsid w:val="60F241BE"/>
    <w:rsid w:val="67156E76"/>
    <w:rsid w:val="67195BDE"/>
    <w:rsid w:val="684270DA"/>
    <w:rsid w:val="6B3975A0"/>
    <w:rsid w:val="6BEE4E4D"/>
    <w:rsid w:val="6DA90557"/>
    <w:rsid w:val="6F486885"/>
    <w:rsid w:val="708F722E"/>
    <w:rsid w:val="76B80C3C"/>
    <w:rsid w:val="776031DB"/>
    <w:rsid w:val="7BD54D2A"/>
    <w:rsid w:val="7C36754D"/>
    <w:rsid w:val="7C5D2F31"/>
    <w:rsid w:val="7EFB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8"/>
    <w:unhideWhenUsed/>
    <w:qFormat/>
    <w:uiPriority w:val="9"/>
    <w:pPr>
      <w:keepNext/>
      <w:keepLines/>
      <w:numPr>
        <w:ilvl w:val="1"/>
        <w:numId w:val="1"/>
      </w:numPr>
      <w:spacing w:line="360" w:lineRule="auto"/>
      <w:jc w:val="left"/>
      <w:outlineLvl w:val="1"/>
    </w:pPr>
    <w:rPr>
      <w:rFonts w:asciiTheme="majorHAnsi" w:hAnsiTheme="majorHAnsi" w:eastAsiaTheme="majorEastAsia" w:cstheme="majorBidi"/>
      <w:b/>
      <w:bCs/>
      <w:sz w:val="32"/>
      <w:szCs w:val="32"/>
    </w:rPr>
  </w:style>
  <w:style w:type="paragraph" w:styleId="3">
    <w:name w:val="heading 3"/>
    <w:basedOn w:val="1"/>
    <w:next w:val="1"/>
    <w:link w:val="19"/>
    <w:unhideWhenUsed/>
    <w:qFormat/>
    <w:uiPriority w:val="9"/>
    <w:pPr>
      <w:keepNext/>
      <w:keepLines/>
      <w:numPr>
        <w:ilvl w:val="2"/>
        <w:numId w:val="1"/>
      </w:numPr>
      <w:spacing w:line="360" w:lineRule="auto"/>
      <w:jc w:val="left"/>
      <w:outlineLvl w:val="2"/>
    </w:pPr>
    <w:rPr>
      <w:rFonts w:ascii="Calibri" w:hAnsi="Calibri"/>
      <w:b/>
      <w:bCs/>
      <w:sz w:val="32"/>
      <w:szCs w:val="32"/>
    </w:rPr>
  </w:style>
  <w:style w:type="paragraph" w:styleId="4">
    <w:name w:val="heading 4"/>
    <w:basedOn w:val="1"/>
    <w:next w:val="1"/>
    <w:link w:val="21"/>
    <w:unhideWhenUsed/>
    <w:qFormat/>
    <w:uiPriority w:val="9"/>
    <w:pPr>
      <w:keepNext/>
      <w:keepLines/>
      <w:numPr>
        <w:ilvl w:val="3"/>
        <w:numId w:val="1"/>
      </w:numPr>
      <w:spacing w:line="360" w:lineRule="auto"/>
      <w:contextualSpacing/>
      <w:jc w:val="left"/>
      <w:outlineLvl w:val="3"/>
    </w:pPr>
    <w:rPr>
      <w:rFonts w:asciiTheme="majorHAnsi" w:hAnsiTheme="majorHAnsi" w:eastAsiaTheme="majorEastAsia" w:cstheme="majorBidi"/>
      <w:b/>
      <w:bCs/>
      <w:sz w:val="28"/>
      <w:szCs w:val="28"/>
    </w:rPr>
  </w:style>
  <w:style w:type="paragraph" w:styleId="5">
    <w:name w:val="heading 5"/>
    <w:basedOn w:val="1"/>
    <w:next w:val="1"/>
    <w:link w:val="22"/>
    <w:unhideWhenUsed/>
    <w:qFormat/>
    <w:uiPriority w:val="9"/>
    <w:pPr>
      <w:keepNext/>
      <w:keepLines/>
      <w:numPr>
        <w:ilvl w:val="4"/>
        <w:numId w:val="2"/>
      </w:numPr>
      <w:spacing w:line="360" w:lineRule="auto"/>
      <w:ind w:hanging="2552" w:hangingChars="1215"/>
      <w:contextualSpacing/>
      <w:outlineLvl w:val="4"/>
    </w:pPr>
    <w:rPr>
      <w:rFonts w:ascii="Calibri" w:hAnsi="Calibri"/>
      <w:b/>
      <w:bCs/>
      <w:sz w:val="28"/>
      <w:szCs w:val="28"/>
    </w:rPr>
  </w:style>
  <w:style w:type="paragraph" w:styleId="6">
    <w:name w:val="heading 6"/>
    <w:basedOn w:val="1"/>
    <w:next w:val="1"/>
    <w:link w:val="20"/>
    <w:unhideWhenUsed/>
    <w:qFormat/>
    <w:uiPriority w:val="9"/>
    <w:pPr>
      <w:keepNext/>
      <w:keepLines/>
      <w:numPr>
        <w:ilvl w:val="5"/>
        <w:numId w:val="1"/>
      </w:numPr>
      <w:spacing w:line="360" w:lineRule="auto"/>
      <w:contextualSpacing/>
      <w:outlineLvl w:val="5"/>
    </w:pPr>
    <w:rPr>
      <w:rFonts w:asciiTheme="majorHAnsi" w:hAnsiTheme="majorHAnsi" w:eastAsiaTheme="majorEastAsia" w:cstheme="majorBidi"/>
      <w:b/>
      <w:bCs/>
      <w:sz w:val="24"/>
      <w:szCs w:val="24"/>
    </w:rPr>
  </w:style>
  <w:style w:type="paragraph" w:styleId="7">
    <w:name w:val="heading 8"/>
    <w:basedOn w:val="1"/>
    <w:next w:val="1"/>
    <w:link w:val="23"/>
    <w:unhideWhenUsed/>
    <w:qFormat/>
    <w:uiPriority w:val="9"/>
    <w:pPr>
      <w:keepNext/>
      <w:keepLines/>
      <w:numPr>
        <w:ilvl w:val="7"/>
        <w:numId w:val="1"/>
      </w:numPr>
      <w:spacing w:line="360" w:lineRule="auto"/>
      <w:contextualSpacing/>
      <w:jc w:val="left"/>
      <w:outlineLvl w:val="7"/>
    </w:pPr>
    <w:rPr>
      <w:rFonts w:asciiTheme="majorHAnsi" w:hAnsiTheme="majorHAnsi" w:eastAsiaTheme="majorEastAsia" w:cstheme="majorBidi"/>
      <w:b/>
      <w:sz w:val="24"/>
      <w:szCs w:val="24"/>
    </w:rPr>
  </w:style>
  <w:style w:type="paragraph" w:styleId="8">
    <w:name w:val="heading 9"/>
    <w:basedOn w:val="1"/>
    <w:next w:val="1"/>
    <w:link w:val="24"/>
    <w:unhideWhenUsed/>
    <w:qFormat/>
    <w:uiPriority w:val="9"/>
    <w:pPr>
      <w:keepNext/>
      <w:keepLines/>
      <w:numPr>
        <w:ilvl w:val="8"/>
        <w:numId w:val="1"/>
      </w:numPr>
      <w:spacing w:line="360" w:lineRule="auto"/>
      <w:contextualSpacing/>
      <w:outlineLvl w:val="8"/>
    </w:pPr>
    <w:rPr>
      <w:rFonts w:asciiTheme="majorHAnsi" w:hAnsiTheme="majorHAnsi" w:eastAsiaTheme="majorEastAsia" w:cstheme="majorBidi"/>
      <w:b/>
      <w:szCs w:val="21"/>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9">
    <w:name w:val="annotation text"/>
    <w:qFormat/>
    <w:uiPriority w:val="0"/>
    <w:rPr>
      <w:rFonts w:asciiTheme="minorHAnsi" w:hAnsiTheme="minorHAnsi" w:eastAsiaTheme="minorEastAsia" w:cstheme="minorBidi"/>
      <w:lang w:val="zh-CN" w:eastAsia="zh-CN" w:bidi="ar-SA"/>
    </w:rPr>
  </w:style>
  <w:style w:type="paragraph" w:styleId="10">
    <w:name w:val="Plain Text"/>
    <w:basedOn w:val="1"/>
    <w:link w:val="27"/>
    <w:qFormat/>
    <w:uiPriority w:val="0"/>
    <w:rPr>
      <w:rFonts w:ascii="宋体" w:hAnsi="Courier New" w:cs="Courier New"/>
      <w:szCs w:val="21"/>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character" w:styleId="15">
    <w:name w:val="annotation reference"/>
    <w:qFormat/>
    <w:uiPriority w:val="0"/>
    <w:rPr>
      <w:sz w:val="21"/>
      <w:szCs w:val="21"/>
    </w:r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8">
    <w:name w:val="标题 2 Char"/>
    <w:basedOn w:val="14"/>
    <w:link w:val="2"/>
    <w:qFormat/>
    <w:uiPriority w:val="9"/>
    <w:rPr>
      <w:rFonts w:asciiTheme="majorHAnsi" w:hAnsiTheme="majorHAnsi" w:eastAsiaTheme="majorEastAsia" w:cstheme="majorBidi"/>
      <w:b/>
      <w:bCs/>
      <w:sz w:val="32"/>
      <w:szCs w:val="32"/>
    </w:rPr>
  </w:style>
  <w:style w:type="character" w:customStyle="1" w:styleId="19">
    <w:name w:val="标题 3 Char"/>
    <w:basedOn w:val="14"/>
    <w:link w:val="3"/>
    <w:qFormat/>
    <w:uiPriority w:val="9"/>
    <w:rPr>
      <w:rFonts w:ascii="Calibri" w:hAnsi="Calibri"/>
      <w:b/>
      <w:bCs/>
      <w:sz w:val="32"/>
      <w:szCs w:val="32"/>
    </w:rPr>
  </w:style>
  <w:style w:type="character" w:customStyle="1" w:styleId="20">
    <w:name w:val="标题 6 Char"/>
    <w:basedOn w:val="14"/>
    <w:link w:val="6"/>
    <w:qFormat/>
    <w:uiPriority w:val="9"/>
    <w:rPr>
      <w:rFonts w:asciiTheme="majorHAnsi" w:hAnsiTheme="majorHAnsi" w:eastAsiaTheme="majorEastAsia" w:cstheme="majorBidi"/>
      <w:b/>
      <w:bCs/>
      <w:sz w:val="24"/>
      <w:szCs w:val="24"/>
    </w:rPr>
  </w:style>
  <w:style w:type="character" w:customStyle="1" w:styleId="21">
    <w:name w:val="标题 4 Char"/>
    <w:basedOn w:val="14"/>
    <w:link w:val="4"/>
    <w:qFormat/>
    <w:uiPriority w:val="9"/>
    <w:rPr>
      <w:rFonts w:asciiTheme="majorHAnsi" w:hAnsiTheme="majorHAnsi" w:eastAsiaTheme="majorEastAsia" w:cstheme="majorBidi"/>
      <w:b/>
      <w:bCs/>
      <w:sz w:val="28"/>
      <w:szCs w:val="28"/>
    </w:rPr>
  </w:style>
  <w:style w:type="character" w:customStyle="1" w:styleId="22">
    <w:name w:val="标题 5 Char"/>
    <w:basedOn w:val="14"/>
    <w:link w:val="5"/>
    <w:qFormat/>
    <w:uiPriority w:val="9"/>
    <w:rPr>
      <w:rFonts w:ascii="Calibri" w:hAnsi="Calibri"/>
      <w:b/>
      <w:bCs/>
      <w:sz w:val="28"/>
      <w:szCs w:val="28"/>
    </w:rPr>
  </w:style>
  <w:style w:type="character" w:customStyle="1" w:styleId="23">
    <w:name w:val="标题 8 Char"/>
    <w:basedOn w:val="14"/>
    <w:link w:val="7"/>
    <w:qFormat/>
    <w:uiPriority w:val="9"/>
    <w:rPr>
      <w:rFonts w:asciiTheme="majorHAnsi" w:hAnsiTheme="majorHAnsi" w:eastAsiaTheme="majorEastAsia" w:cstheme="majorBidi"/>
      <w:b/>
      <w:sz w:val="24"/>
      <w:szCs w:val="24"/>
    </w:rPr>
  </w:style>
  <w:style w:type="character" w:customStyle="1" w:styleId="24">
    <w:name w:val="标题 9 Char"/>
    <w:basedOn w:val="14"/>
    <w:link w:val="8"/>
    <w:qFormat/>
    <w:uiPriority w:val="9"/>
    <w:rPr>
      <w:rFonts w:asciiTheme="majorHAnsi" w:hAnsiTheme="majorHAnsi" w:eastAsiaTheme="majorEastAsia" w:cstheme="majorBidi"/>
      <w:b/>
      <w:szCs w:val="21"/>
    </w:rPr>
  </w:style>
  <w:style w:type="character" w:customStyle="1" w:styleId="25">
    <w:name w:val="页眉 Char"/>
    <w:basedOn w:val="14"/>
    <w:link w:val="12"/>
    <w:qFormat/>
    <w:uiPriority w:val="99"/>
    <w:rPr>
      <w:sz w:val="18"/>
      <w:szCs w:val="18"/>
    </w:rPr>
  </w:style>
  <w:style w:type="character" w:customStyle="1" w:styleId="26">
    <w:name w:val="页脚 Char"/>
    <w:basedOn w:val="14"/>
    <w:link w:val="11"/>
    <w:qFormat/>
    <w:uiPriority w:val="99"/>
    <w:rPr>
      <w:sz w:val="18"/>
      <w:szCs w:val="18"/>
    </w:rPr>
  </w:style>
  <w:style w:type="character" w:customStyle="1" w:styleId="27">
    <w:name w:val="纯文本 Char"/>
    <w:basedOn w:val="14"/>
    <w:link w:val="10"/>
    <w:qFormat/>
    <w:uiPriority w:val="0"/>
    <w:rPr>
      <w:rFonts w:ascii="宋体" w:hAnsi="Courier New" w:eastAsia="宋体" w:cs="Courier New"/>
      <w:szCs w:val="21"/>
    </w:rPr>
  </w:style>
  <w:style w:type="paragraph" w:styleId="2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6973</Words>
  <Characters>7449</Characters>
  <Lines>56</Lines>
  <Paragraphs>15</Paragraphs>
  <ScaleCrop>false</ScaleCrop>
  <LinksUpToDate>false</LinksUpToDate>
  <CharactersWithSpaces>7464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2025-06-26T03:17:00Z</dcterms:created>
  <dc:creator>lenovo</dc:creator>
  <cp:lastModifiedBy>Administrator</cp:lastModifiedBy>
  <dcterms:modified xsi:type="dcterms:W3CDTF">2025-07-25T01:51:19Z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788F151518F44D29B3A4A7C0B31DF40F_13</vt:lpwstr>
  </property>
</Properties>
</file>